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68102" w14:textId="270D76F0" w:rsidR="00A80775" w:rsidRDefault="00A80775" w:rsidP="00A80775">
      <w:pPr>
        <w:jc w:val="right"/>
        <w:rPr>
          <w:sz w:val="24"/>
          <w:szCs w:val="24"/>
          <w:u w:val="single"/>
        </w:rPr>
      </w:pPr>
      <w:bookmarkStart w:id="0" w:name="_GoBack"/>
      <w:bookmarkEnd w:id="0"/>
      <w:r w:rsidRPr="006B7A9C">
        <w:rPr>
          <w:sz w:val="24"/>
          <w:szCs w:val="24"/>
          <w:u w:val="single"/>
        </w:rPr>
        <w:t xml:space="preserve">APPEAL NO: </w:t>
      </w:r>
    </w:p>
    <w:p w14:paraId="7DB00FC7" w14:textId="77777777" w:rsidR="00A80775" w:rsidRDefault="00A80775" w:rsidP="00A80775">
      <w:pPr>
        <w:jc w:val="left"/>
        <w:rPr>
          <w:sz w:val="24"/>
          <w:szCs w:val="24"/>
          <w:u w:val="single"/>
        </w:rPr>
      </w:pPr>
      <w:r>
        <w:rPr>
          <w:sz w:val="24"/>
          <w:szCs w:val="24"/>
          <w:u w:val="single"/>
        </w:rPr>
        <w:t>IN THE COURT OF APPEAL (CIVIL DIVISION)</w:t>
      </w:r>
    </w:p>
    <w:p w14:paraId="665A2E44" w14:textId="77777777" w:rsidR="00A80775" w:rsidRPr="00906E60" w:rsidRDefault="00A80775" w:rsidP="00A80775">
      <w:pPr>
        <w:jc w:val="left"/>
        <w:rPr>
          <w:sz w:val="24"/>
          <w:szCs w:val="24"/>
          <w:u w:val="single"/>
        </w:rPr>
      </w:pPr>
      <w:r>
        <w:rPr>
          <w:sz w:val="24"/>
          <w:szCs w:val="24"/>
          <w:u w:val="single"/>
        </w:rPr>
        <w:t xml:space="preserve">ON APPEAL FROM </w:t>
      </w:r>
      <w:r w:rsidRPr="00906E60">
        <w:rPr>
          <w:sz w:val="24"/>
          <w:szCs w:val="24"/>
          <w:u w:val="single"/>
        </w:rPr>
        <w:t>THE HIGH COURT OF JUSTICE</w:t>
      </w:r>
      <w:r w:rsidRPr="006B7A9C">
        <w:rPr>
          <w:u w:val="single"/>
        </w:rPr>
        <w:t xml:space="preserve"> </w:t>
      </w:r>
      <w:r w:rsidRPr="006B7A9C">
        <w:rPr>
          <w:sz w:val="24"/>
          <w:szCs w:val="24"/>
          <w:u w:val="single"/>
        </w:rPr>
        <w:t>CLAIM NO: KB-2024-001788</w:t>
      </w:r>
    </w:p>
    <w:p w14:paraId="2CADD2FA" w14:textId="77777777" w:rsidR="00A80775" w:rsidRDefault="00A80775" w:rsidP="00A80775">
      <w:pPr>
        <w:jc w:val="left"/>
        <w:rPr>
          <w:sz w:val="24"/>
          <w:szCs w:val="24"/>
          <w:u w:val="single"/>
        </w:rPr>
      </w:pPr>
      <w:r w:rsidRPr="00906E60">
        <w:rPr>
          <w:sz w:val="24"/>
          <w:szCs w:val="24"/>
          <w:u w:val="single"/>
        </w:rPr>
        <w:t>KING’S BENCH DIVISION</w:t>
      </w:r>
      <w:r>
        <w:rPr>
          <w:sz w:val="24"/>
          <w:szCs w:val="24"/>
          <w:u w:val="single"/>
        </w:rPr>
        <w:t xml:space="preserve"> </w:t>
      </w:r>
    </w:p>
    <w:p w14:paraId="2383865B" w14:textId="77777777" w:rsidR="00A80775" w:rsidRDefault="00A80775" w:rsidP="00A80775">
      <w:pPr>
        <w:jc w:val="left"/>
        <w:rPr>
          <w:sz w:val="24"/>
          <w:szCs w:val="24"/>
          <w:u w:val="single"/>
        </w:rPr>
      </w:pPr>
      <w:r w:rsidRPr="00906E60">
        <w:rPr>
          <w:sz w:val="24"/>
          <w:szCs w:val="24"/>
          <w:u w:val="single"/>
        </w:rPr>
        <w:t>MEDIA AND COMMUNICATIONS LIST</w:t>
      </w:r>
    </w:p>
    <w:p w14:paraId="07C61A1E" w14:textId="595B29A3" w:rsidR="00A80775" w:rsidRDefault="00A80775" w:rsidP="00A80775">
      <w:pPr>
        <w:jc w:val="left"/>
        <w:rPr>
          <w:sz w:val="24"/>
          <w:szCs w:val="24"/>
          <w:u w:val="single"/>
        </w:rPr>
      </w:pPr>
      <w:r>
        <w:rPr>
          <w:sz w:val="24"/>
          <w:szCs w:val="24"/>
          <w:u w:val="single"/>
        </w:rPr>
        <w:t>THE HONOURABLE MR JUSTICE PE</w:t>
      </w:r>
      <w:r w:rsidR="00203B3A">
        <w:rPr>
          <w:sz w:val="24"/>
          <w:szCs w:val="24"/>
          <w:u w:val="single"/>
        </w:rPr>
        <w:t>P</w:t>
      </w:r>
      <w:r>
        <w:rPr>
          <w:sz w:val="24"/>
          <w:szCs w:val="24"/>
          <w:u w:val="single"/>
        </w:rPr>
        <w:t xml:space="preserve">PERALL </w:t>
      </w:r>
      <w:r w:rsidRPr="006B7A9C">
        <w:rPr>
          <w:sz w:val="24"/>
          <w:szCs w:val="24"/>
          <w:u w:val="single"/>
        </w:rPr>
        <w:t>([2025] EWHC 287 (KB)</w:t>
      </w:r>
    </w:p>
    <w:p w14:paraId="465D0288" w14:textId="159F0F76" w:rsidR="00914E54" w:rsidRDefault="00914E54" w:rsidP="00914E54">
      <w:pPr>
        <w:jc w:val="left"/>
        <w:rPr>
          <w:sz w:val="24"/>
          <w:szCs w:val="24"/>
        </w:rPr>
      </w:pPr>
      <w:r w:rsidRPr="00906E60">
        <w:rPr>
          <w:sz w:val="24"/>
          <w:szCs w:val="24"/>
        </w:rPr>
        <w:t>BETWEEN : -</w:t>
      </w:r>
    </w:p>
    <w:p w14:paraId="1220D067" w14:textId="77777777" w:rsidR="0064562F" w:rsidRPr="00906E60" w:rsidRDefault="0064562F" w:rsidP="00914E54">
      <w:pPr>
        <w:jc w:val="left"/>
        <w:rPr>
          <w:sz w:val="24"/>
          <w:szCs w:val="24"/>
        </w:rPr>
      </w:pPr>
    </w:p>
    <w:p w14:paraId="7936EFB3" w14:textId="77777777" w:rsidR="00914E54" w:rsidRPr="00906E60" w:rsidRDefault="00914E54" w:rsidP="00914E54">
      <w:pPr>
        <w:jc w:val="center"/>
        <w:rPr>
          <w:sz w:val="24"/>
          <w:szCs w:val="24"/>
        </w:rPr>
      </w:pPr>
      <w:r w:rsidRPr="005F22F2">
        <w:t xml:space="preserve"> </w:t>
      </w:r>
      <w:r w:rsidRPr="005F22F2">
        <w:rPr>
          <w:sz w:val="24"/>
          <w:szCs w:val="24"/>
        </w:rPr>
        <w:t>DALE VINCE OBE</w:t>
      </w:r>
    </w:p>
    <w:p w14:paraId="4B968D21" w14:textId="77777777" w:rsidR="00914E54" w:rsidRPr="00906E60" w:rsidRDefault="00914E54" w:rsidP="00914E54">
      <w:pPr>
        <w:jc w:val="right"/>
        <w:rPr>
          <w:sz w:val="24"/>
          <w:szCs w:val="24"/>
          <w:u w:val="single"/>
        </w:rPr>
      </w:pPr>
      <w:r w:rsidRPr="00906E60">
        <w:rPr>
          <w:sz w:val="24"/>
          <w:szCs w:val="24"/>
        </w:rPr>
        <w:tab/>
      </w:r>
      <w:r w:rsidRPr="00906E60">
        <w:rPr>
          <w:sz w:val="24"/>
          <w:szCs w:val="24"/>
        </w:rPr>
        <w:tab/>
      </w:r>
      <w:r w:rsidRPr="00906E60">
        <w:rPr>
          <w:sz w:val="24"/>
          <w:szCs w:val="24"/>
        </w:rPr>
        <w:tab/>
      </w:r>
      <w:r w:rsidRPr="00906E60">
        <w:rPr>
          <w:sz w:val="24"/>
          <w:szCs w:val="24"/>
        </w:rPr>
        <w:tab/>
      </w:r>
      <w:r w:rsidRPr="00906E60">
        <w:rPr>
          <w:sz w:val="24"/>
          <w:szCs w:val="24"/>
        </w:rPr>
        <w:tab/>
      </w:r>
      <w:r w:rsidRPr="00906E60">
        <w:rPr>
          <w:sz w:val="24"/>
          <w:szCs w:val="24"/>
        </w:rPr>
        <w:tab/>
        <w:t xml:space="preserve">                           </w:t>
      </w:r>
      <w:r w:rsidRPr="00914E54">
        <w:rPr>
          <w:sz w:val="24"/>
          <w:szCs w:val="24"/>
          <w:u w:val="single"/>
        </w:rPr>
        <w:t>Respondent/C</w:t>
      </w:r>
      <w:r w:rsidRPr="00906E60">
        <w:rPr>
          <w:sz w:val="24"/>
          <w:szCs w:val="24"/>
          <w:u w:val="single"/>
        </w:rPr>
        <w:t>laimant</w:t>
      </w:r>
    </w:p>
    <w:p w14:paraId="69B1026D" w14:textId="77777777" w:rsidR="00914E54" w:rsidRPr="00906E60" w:rsidRDefault="00914E54" w:rsidP="00914E54">
      <w:pPr>
        <w:jc w:val="center"/>
        <w:rPr>
          <w:sz w:val="24"/>
          <w:szCs w:val="24"/>
        </w:rPr>
      </w:pPr>
      <w:r w:rsidRPr="00906E60">
        <w:rPr>
          <w:sz w:val="24"/>
          <w:szCs w:val="24"/>
        </w:rPr>
        <w:t>- and -</w:t>
      </w:r>
    </w:p>
    <w:p w14:paraId="46B70ED3" w14:textId="77777777" w:rsidR="00914E54" w:rsidRPr="00906E60" w:rsidRDefault="00914E54" w:rsidP="00914E54">
      <w:pPr>
        <w:rPr>
          <w:sz w:val="24"/>
          <w:szCs w:val="24"/>
        </w:rPr>
      </w:pPr>
      <w:r w:rsidRPr="00906E60">
        <w:rPr>
          <w:sz w:val="24"/>
          <w:szCs w:val="24"/>
        </w:rPr>
        <w:tab/>
      </w:r>
      <w:r w:rsidRPr="00906E60">
        <w:rPr>
          <w:sz w:val="24"/>
          <w:szCs w:val="24"/>
        </w:rPr>
        <w:tab/>
      </w:r>
      <w:r w:rsidRPr="00906E60">
        <w:rPr>
          <w:sz w:val="24"/>
          <w:szCs w:val="24"/>
        </w:rPr>
        <w:tab/>
      </w:r>
      <w:r w:rsidRPr="00906E60">
        <w:rPr>
          <w:sz w:val="24"/>
          <w:szCs w:val="24"/>
        </w:rPr>
        <w:tab/>
      </w:r>
    </w:p>
    <w:p w14:paraId="77C09ED3" w14:textId="77777777" w:rsidR="00914E54" w:rsidRPr="00906E60" w:rsidRDefault="00914E54" w:rsidP="00914E54">
      <w:pPr>
        <w:jc w:val="center"/>
        <w:rPr>
          <w:sz w:val="24"/>
          <w:szCs w:val="24"/>
        </w:rPr>
      </w:pPr>
      <w:r w:rsidRPr="005F22F2">
        <w:rPr>
          <w:sz w:val="24"/>
          <w:szCs w:val="24"/>
        </w:rPr>
        <w:t>LORD SHAUN BAILEY</w:t>
      </w:r>
    </w:p>
    <w:p w14:paraId="3399ED41" w14:textId="77777777" w:rsidR="00914E54" w:rsidRPr="00906E60" w:rsidRDefault="00914E54" w:rsidP="00914E54">
      <w:pPr>
        <w:jc w:val="right"/>
        <w:rPr>
          <w:sz w:val="24"/>
          <w:szCs w:val="24"/>
          <w:u w:val="single"/>
        </w:rPr>
      </w:pPr>
      <w:r w:rsidRPr="00906E60">
        <w:rPr>
          <w:sz w:val="24"/>
          <w:szCs w:val="24"/>
        </w:rPr>
        <w:tab/>
      </w:r>
      <w:r w:rsidRPr="00906E60">
        <w:rPr>
          <w:sz w:val="24"/>
          <w:szCs w:val="24"/>
        </w:rPr>
        <w:tab/>
      </w:r>
      <w:r w:rsidRPr="00906E60">
        <w:rPr>
          <w:sz w:val="24"/>
          <w:szCs w:val="24"/>
        </w:rPr>
        <w:tab/>
      </w:r>
      <w:r w:rsidRPr="00906E60">
        <w:rPr>
          <w:sz w:val="24"/>
          <w:szCs w:val="24"/>
        </w:rPr>
        <w:tab/>
      </w:r>
      <w:r w:rsidRPr="00906E60">
        <w:rPr>
          <w:sz w:val="24"/>
          <w:szCs w:val="24"/>
        </w:rPr>
        <w:tab/>
      </w:r>
      <w:r w:rsidRPr="00906E60">
        <w:rPr>
          <w:sz w:val="24"/>
          <w:szCs w:val="24"/>
        </w:rPr>
        <w:tab/>
      </w:r>
      <w:r w:rsidRPr="00906E60">
        <w:rPr>
          <w:sz w:val="24"/>
          <w:szCs w:val="24"/>
        </w:rPr>
        <w:tab/>
      </w:r>
      <w:r w:rsidRPr="00906E60">
        <w:rPr>
          <w:sz w:val="24"/>
          <w:szCs w:val="24"/>
        </w:rPr>
        <w:tab/>
        <w:t xml:space="preserve">              </w:t>
      </w:r>
      <w:r w:rsidRPr="00960F30">
        <w:rPr>
          <w:sz w:val="24"/>
          <w:szCs w:val="24"/>
          <w:u w:val="single"/>
        </w:rPr>
        <w:t>Appellant/D</w:t>
      </w:r>
      <w:r w:rsidRPr="00906E60">
        <w:rPr>
          <w:sz w:val="24"/>
          <w:szCs w:val="24"/>
          <w:u w:val="single"/>
        </w:rPr>
        <w:t>efendant</w:t>
      </w:r>
    </w:p>
    <w:p w14:paraId="07829AA4" w14:textId="77777777" w:rsidR="009D40AB" w:rsidRPr="00906E60" w:rsidRDefault="009D40AB" w:rsidP="009D40AB">
      <w:pPr>
        <w:jc w:val="center"/>
        <w:rPr>
          <w:sz w:val="24"/>
          <w:szCs w:val="24"/>
        </w:rPr>
      </w:pPr>
    </w:p>
    <w:p w14:paraId="387334C9" w14:textId="4A9893C1" w:rsidR="009D40AB" w:rsidRPr="00906E60" w:rsidRDefault="008F3B79" w:rsidP="009D40AB">
      <w:pPr>
        <w:keepNext/>
        <w:pBdr>
          <w:top w:val="single" w:sz="8" w:space="14" w:color="auto"/>
          <w:bottom w:val="single" w:sz="8" w:space="16" w:color="auto"/>
        </w:pBdr>
        <w:tabs>
          <w:tab w:val="left" w:pos="5940"/>
        </w:tabs>
        <w:ind w:left="567" w:right="567"/>
        <w:jc w:val="center"/>
        <w:outlineLvl w:val="3"/>
        <w:rPr>
          <w:rFonts w:eastAsia="Times New Roman"/>
          <w:sz w:val="24"/>
          <w:szCs w:val="24"/>
        </w:rPr>
      </w:pPr>
      <w:r>
        <w:rPr>
          <w:rFonts w:eastAsia="Times New Roman"/>
          <w:sz w:val="24"/>
          <w:szCs w:val="24"/>
        </w:rPr>
        <w:t>APPELLANT</w:t>
      </w:r>
      <w:r w:rsidR="009D40AB">
        <w:rPr>
          <w:rFonts w:eastAsia="Times New Roman"/>
          <w:sz w:val="24"/>
          <w:szCs w:val="24"/>
        </w:rPr>
        <w:t xml:space="preserve"> SKELETON ARGUMENT</w:t>
      </w:r>
      <w:r w:rsidR="00914E54">
        <w:rPr>
          <w:rFonts w:eastAsia="Times New Roman"/>
          <w:sz w:val="24"/>
          <w:szCs w:val="24"/>
        </w:rPr>
        <w:t xml:space="preserve">: </w:t>
      </w:r>
      <w:r>
        <w:rPr>
          <w:rFonts w:eastAsia="Times New Roman"/>
          <w:sz w:val="24"/>
          <w:szCs w:val="24"/>
        </w:rPr>
        <w:t>PTA</w:t>
      </w:r>
    </w:p>
    <w:p w14:paraId="36BCC721" w14:textId="77777777" w:rsidR="009D40AB" w:rsidRPr="00906E60" w:rsidRDefault="009D40AB" w:rsidP="009D40AB">
      <w:pPr>
        <w:rPr>
          <w:sz w:val="24"/>
          <w:szCs w:val="24"/>
        </w:rPr>
      </w:pPr>
    </w:p>
    <w:p w14:paraId="3BE9FD69" w14:textId="1AAB8A00" w:rsidR="008F3B79" w:rsidRDefault="008F3B79" w:rsidP="00815163">
      <w:pPr>
        <w:contextualSpacing/>
        <w:rPr>
          <w:sz w:val="24"/>
          <w:szCs w:val="24"/>
        </w:rPr>
      </w:pPr>
    </w:p>
    <w:p w14:paraId="5FAE1AA9" w14:textId="7A35C71D" w:rsidR="008F3B79" w:rsidRPr="00511EB6" w:rsidRDefault="008F3B79" w:rsidP="008F3B79">
      <w:pPr>
        <w:contextualSpacing/>
        <w:rPr>
          <w:b/>
          <w:bCs/>
          <w:sz w:val="24"/>
          <w:szCs w:val="24"/>
        </w:rPr>
      </w:pPr>
      <w:bookmarkStart w:id="1" w:name="_Hlk195442604"/>
      <w:r w:rsidRPr="00511EB6">
        <w:rPr>
          <w:b/>
          <w:bCs/>
          <w:sz w:val="24"/>
          <w:szCs w:val="24"/>
        </w:rPr>
        <w:t>Contents</w:t>
      </w:r>
      <w:r w:rsidR="00914E54">
        <w:rPr>
          <w:b/>
          <w:bCs/>
          <w:sz w:val="24"/>
          <w:szCs w:val="24"/>
        </w:rPr>
        <w:t xml:space="preserve"> </w:t>
      </w:r>
    </w:p>
    <w:p w14:paraId="3541A454" w14:textId="6A882852" w:rsidR="008F3B79" w:rsidRPr="0063356B" w:rsidRDefault="008F3B79" w:rsidP="008F3B79">
      <w:pPr>
        <w:contextualSpacing/>
        <w:rPr>
          <w:sz w:val="24"/>
          <w:szCs w:val="24"/>
          <w:u w:val="single"/>
        </w:rPr>
      </w:pPr>
      <w:r w:rsidRPr="0063356B">
        <w:rPr>
          <w:sz w:val="24"/>
          <w:szCs w:val="24"/>
          <w:u w:val="single"/>
        </w:rPr>
        <w:t>Overview</w:t>
      </w:r>
      <w:r w:rsidRPr="0063356B">
        <w:rPr>
          <w:sz w:val="24"/>
          <w:szCs w:val="24"/>
        </w:rPr>
        <w:t xml:space="preserve"> </w:t>
      </w:r>
      <w:r w:rsidR="0063356B" w:rsidRPr="0063356B">
        <w:rPr>
          <w:sz w:val="24"/>
          <w:szCs w:val="24"/>
        </w:rPr>
        <w:t>- [1]-[12]</w:t>
      </w:r>
    </w:p>
    <w:p w14:paraId="50C29844" w14:textId="22C584D2" w:rsidR="008F3B79" w:rsidRPr="0063356B" w:rsidRDefault="008F3B79" w:rsidP="008F3B79">
      <w:pPr>
        <w:contextualSpacing/>
        <w:rPr>
          <w:sz w:val="24"/>
          <w:szCs w:val="24"/>
        </w:rPr>
      </w:pPr>
      <w:r w:rsidRPr="0063356B">
        <w:rPr>
          <w:sz w:val="24"/>
          <w:szCs w:val="24"/>
          <w:u w:val="single"/>
        </w:rPr>
        <w:t>GOA[1] – s.3(5)</w:t>
      </w:r>
      <w:r w:rsidR="0063356B">
        <w:rPr>
          <w:sz w:val="24"/>
          <w:szCs w:val="24"/>
        </w:rPr>
        <w:t xml:space="preserve"> </w:t>
      </w:r>
    </w:p>
    <w:p w14:paraId="5458556C" w14:textId="6D66BC57" w:rsidR="008F3B79" w:rsidRPr="00911D80" w:rsidRDefault="00914E54" w:rsidP="008F3B79">
      <w:pPr>
        <w:contextualSpacing/>
        <w:rPr>
          <w:sz w:val="24"/>
          <w:szCs w:val="24"/>
        </w:rPr>
      </w:pPr>
      <w:r w:rsidRPr="00911D80">
        <w:rPr>
          <w:sz w:val="24"/>
          <w:szCs w:val="24"/>
        </w:rPr>
        <w:t>Proof of dishonesty in the context of s.3(5)</w:t>
      </w:r>
      <w:r w:rsidR="0063356B">
        <w:rPr>
          <w:sz w:val="24"/>
          <w:szCs w:val="24"/>
        </w:rPr>
        <w:t xml:space="preserve"> - [13]-[23]</w:t>
      </w:r>
    </w:p>
    <w:p w14:paraId="5BD1FF94" w14:textId="2F16FE54" w:rsidR="008F3B79" w:rsidRPr="00911D80" w:rsidRDefault="008F3B79" w:rsidP="008F3B79">
      <w:pPr>
        <w:contextualSpacing/>
        <w:rPr>
          <w:sz w:val="24"/>
          <w:szCs w:val="24"/>
        </w:rPr>
      </w:pPr>
      <w:r w:rsidRPr="00911D80">
        <w:rPr>
          <w:sz w:val="24"/>
          <w:szCs w:val="24"/>
        </w:rPr>
        <w:t>The “probability test” in practice</w:t>
      </w:r>
      <w:r w:rsidR="0063356B">
        <w:rPr>
          <w:sz w:val="24"/>
          <w:szCs w:val="24"/>
        </w:rPr>
        <w:t xml:space="preserve"> – [24]-[25]</w:t>
      </w:r>
    </w:p>
    <w:p w14:paraId="2246A776" w14:textId="111914B6" w:rsidR="008F3B79" w:rsidRPr="00911D80" w:rsidRDefault="008F3B79" w:rsidP="008F3B79">
      <w:pPr>
        <w:contextualSpacing/>
        <w:rPr>
          <w:sz w:val="24"/>
          <w:szCs w:val="24"/>
        </w:rPr>
      </w:pPr>
      <w:r w:rsidRPr="00911D80">
        <w:rPr>
          <w:sz w:val="24"/>
          <w:szCs w:val="24"/>
        </w:rPr>
        <w:t>S.3(5) in cases involving the interpretation of a claimant’s words</w:t>
      </w:r>
      <w:r w:rsidR="0063356B">
        <w:rPr>
          <w:sz w:val="24"/>
          <w:szCs w:val="24"/>
        </w:rPr>
        <w:t xml:space="preserve"> [26]-[35]</w:t>
      </w:r>
    </w:p>
    <w:p w14:paraId="0B93136A" w14:textId="72C4E786" w:rsidR="008F3B79" w:rsidRPr="00911D80" w:rsidRDefault="008F3B79" w:rsidP="008F3B79">
      <w:pPr>
        <w:contextualSpacing/>
        <w:rPr>
          <w:sz w:val="24"/>
          <w:szCs w:val="24"/>
        </w:rPr>
      </w:pPr>
      <w:r w:rsidRPr="00911D80">
        <w:rPr>
          <w:sz w:val="24"/>
          <w:szCs w:val="24"/>
        </w:rPr>
        <w:t>D’s witness statement</w:t>
      </w:r>
      <w:r w:rsidR="0063356B">
        <w:rPr>
          <w:sz w:val="24"/>
          <w:szCs w:val="24"/>
        </w:rPr>
        <w:t xml:space="preserve"> [36]-[39]</w:t>
      </w:r>
    </w:p>
    <w:p w14:paraId="245C902B" w14:textId="045DF234" w:rsidR="008F3B79" w:rsidRPr="0063356B" w:rsidRDefault="008F3B79" w:rsidP="008F3B79">
      <w:pPr>
        <w:contextualSpacing/>
        <w:rPr>
          <w:sz w:val="24"/>
          <w:szCs w:val="24"/>
        </w:rPr>
      </w:pPr>
      <w:r w:rsidRPr="0063356B">
        <w:rPr>
          <w:sz w:val="24"/>
          <w:szCs w:val="24"/>
          <w:u w:val="single"/>
        </w:rPr>
        <w:t>GOA [2] – Identifiabl</w:t>
      </w:r>
      <w:r w:rsidR="0063356B">
        <w:rPr>
          <w:sz w:val="24"/>
          <w:szCs w:val="24"/>
          <w:u w:val="single"/>
        </w:rPr>
        <w:t xml:space="preserve">e </w:t>
      </w:r>
      <w:r w:rsidRPr="0063356B">
        <w:rPr>
          <w:sz w:val="24"/>
          <w:szCs w:val="24"/>
          <w:u w:val="single"/>
        </w:rPr>
        <w:t>flaw</w:t>
      </w:r>
      <w:r w:rsidR="0063356B">
        <w:rPr>
          <w:sz w:val="24"/>
          <w:szCs w:val="24"/>
          <w:u w:val="single"/>
        </w:rPr>
        <w:t xml:space="preserve">s in </w:t>
      </w:r>
      <w:r w:rsidR="00782384">
        <w:rPr>
          <w:sz w:val="24"/>
          <w:szCs w:val="24"/>
          <w:u w:val="single"/>
        </w:rPr>
        <w:t xml:space="preserve">the interpretation of the Interview </w:t>
      </w:r>
      <w:r w:rsidR="0063356B">
        <w:rPr>
          <w:sz w:val="24"/>
          <w:szCs w:val="24"/>
        </w:rPr>
        <w:t>[40]</w:t>
      </w:r>
    </w:p>
    <w:p w14:paraId="0E13801D" w14:textId="559A9D14" w:rsidR="008F3B79" w:rsidRPr="0063356B" w:rsidRDefault="008F3B79" w:rsidP="008F3B79">
      <w:pPr>
        <w:contextualSpacing/>
        <w:rPr>
          <w:sz w:val="24"/>
          <w:szCs w:val="24"/>
        </w:rPr>
      </w:pPr>
      <w:r w:rsidRPr="0063356B">
        <w:rPr>
          <w:sz w:val="24"/>
          <w:szCs w:val="24"/>
          <w:u w:val="single"/>
        </w:rPr>
        <w:t>GOA [3] - The irrelevance of the Segment allegation</w:t>
      </w:r>
      <w:r w:rsidR="0063356B">
        <w:rPr>
          <w:sz w:val="24"/>
          <w:szCs w:val="24"/>
        </w:rPr>
        <w:t xml:space="preserve"> [41</w:t>
      </w:r>
      <w:r w:rsidR="003828B5">
        <w:rPr>
          <w:sz w:val="24"/>
          <w:szCs w:val="24"/>
        </w:rPr>
        <w:t>]</w:t>
      </w:r>
      <w:r w:rsidR="0063356B">
        <w:rPr>
          <w:sz w:val="24"/>
          <w:szCs w:val="24"/>
        </w:rPr>
        <w:t>-</w:t>
      </w:r>
      <w:r w:rsidR="003828B5">
        <w:rPr>
          <w:sz w:val="24"/>
          <w:szCs w:val="24"/>
        </w:rPr>
        <w:t>[</w:t>
      </w:r>
      <w:r w:rsidR="0063356B">
        <w:rPr>
          <w:sz w:val="24"/>
          <w:szCs w:val="24"/>
        </w:rPr>
        <w:t>47]</w:t>
      </w:r>
    </w:p>
    <w:p w14:paraId="1D269EBF" w14:textId="0FFB5A53" w:rsidR="008F3B79" w:rsidRPr="00620D1C" w:rsidRDefault="008F3B79" w:rsidP="008F3B79">
      <w:pPr>
        <w:contextualSpacing/>
        <w:rPr>
          <w:sz w:val="24"/>
          <w:szCs w:val="24"/>
        </w:rPr>
      </w:pPr>
      <w:r w:rsidRPr="0063356B">
        <w:rPr>
          <w:sz w:val="24"/>
          <w:szCs w:val="24"/>
          <w:u w:val="single"/>
        </w:rPr>
        <w:t>GOA[4] – s.2</w:t>
      </w:r>
      <w:r w:rsidR="00620D1C">
        <w:rPr>
          <w:sz w:val="24"/>
          <w:szCs w:val="24"/>
          <w:u w:val="single"/>
        </w:rPr>
        <w:t xml:space="preserve"> errors of principle</w:t>
      </w:r>
      <w:r w:rsidR="00620D1C">
        <w:rPr>
          <w:sz w:val="24"/>
          <w:szCs w:val="24"/>
        </w:rPr>
        <w:t xml:space="preserve"> [48]-</w:t>
      </w:r>
      <w:r w:rsidR="003828B5">
        <w:rPr>
          <w:sz w:val="24"/>
          <w:szCs w:val="24"/>
        </w:rPr>
        <w:t>[</w:t>
      </w:r>
      <w:r w:rsidR="00620D1C">
        <w:rPr>
          <w:sz w:val="24"/>
          <w:szCs w:val="24"/>
        </w:rPr>
        <w:t>58]</w:t>
      </w:r>
    </w:p>
    <w:p w14:paraId="6DA4C06E" w14:textId="77777777" w:rsidR="008F3B79" w:rsidRPr="00782384" w:rsidRDefault="008F3B79" w:rsidP="008F3B79">
      <w:pPr>
        <w:contextualSpacing/>
        <w:rPr>
          <w:sz w:val="24"/>
          <w:szCs w:val="24"/>
          <w:u w:val="single"/>
        </w:rPr>
      </w:pPr>
      <w:r w:rsidRPr="00782384">
        <w:rPr>
          <w:sz w:val="24"/>
          <w:szCs w:val="24"/>
          <w:u w:val="single"/>
        </w:rPr>
        <w:t>The correct procedural approach to determining s.3 &amp; s.2 at a TPI/SJ application</w:t>
      </w:r>
    </w:p>
    <w:p w14:paraId="00C26B32" w14:textId="77777777" w:rsidR="00620D1C" w:rsidRDefault="00620D1C" w:rsidP="008F3B79">
      <w:pPr>
        <w:contextualSpacing/>
        <w:rPr>
          <w:sz w:val="24"/>
          <w:szCs w:val="24"/>
        </w:rPr>
      </w:pPr>
      <w:r w:rsidRPr="00620D1C">
        <w:rPr>
          <w:sz w:val="24"/>
          <w:szCs w:val="24"/>
        </w:rPr>
        <w:t>The procedural history leading to the 8/11 hearing</w:t>
      </w:r>
      <w:r>
        <w:rPr>
          <w:sz w:val="24"/>
          <w:szCs w:val="24"/>
        </w:rPr>
        <w:t xml:space="preserve"> [59]-[64]</w:t>
      </w:r>
    </w:p>
    <w:p w14:paraId="64771AE5" w14:textId="75D306CE" w:rsidR="008F3B79" w:rsidRPr="00911D80" w:rsidRDefault="008F3B79" w:rsidP="008F3B79">
      <w:pPr>
        <w:contextualSpacing/>
        <w:rPr>
          <w:sz w:val="24"/>
          <w:szCs w:val="24"/>
        </w:rPr>
      </w:pPr>
      <w:r w:rsidRPr="00911D80">
        <w:rPr>
          <w:sz w:val="24"/>
          <w:szCs w:val="24"/>
        </w:rPr>
        <w:t>The order in which the issues should have been determined</w:t>
      </w:r>
      <w:r w:rsidR="00620D1C">
        <w:rPr>
          <w:sz w:val="24"/>
          <w:szCs w:val="24"/>
        </w:rPr>
        <w:t xml:space="preserve"> [65]-[71]</w:t>
      </w:r>
    </w:p>
    <w:p w14:paraId="484FA26D" w14:textId="4096F6B8" w:rsidR="008F3B79" w:rsidRPr="00911D80" w:rsidRDefault="008F3B79" w:rsidP="008F3B79">
      <w:pPr>
        <w:contextualSpacing/>
        <w:rPr>
          <w:sz w:val="24"/>
          <w:szCs w:val="24"/>
        </w:rPr>
      </w:pPr>
      <w:r w:rsidRPr="00911D80">
        <w:rPr>
          <w:sz w:val="24"/>
          <w:szCs w:val="24"/>
        </w:rPr>
        <w:t>The tolerance to C not having properly stated a s.3(5) case</w:t>
      </w:r>
      <w:r w:rsidR="00620D1C">
        <w:rPr>
          <w:sz w:val="24"/>
          <w:szCs w:val="24"/>
        </w:rPr>
        <w:t xml:space="preserve"> [72]-[74]</w:t>
      </w:r>
    </w:p>
    <w:p w14:paraId="67F3247E" w14:textId="58909A76" w:rsidR="008F3B79" w:rsidRPr="00620D1C" w:rsidRDefault="008F3B79" w:rsidP="008F3B79">
      <w:pPr>
        <w:contextualSpacing/>
        <w:rPr>
          <w:sz w:val="24"/>
          <w:szCs w:val="24"/>
        </w:rPr>
      </w:pPr>
      <w:r w:rsidRPr="00782384">
        <w:rPr>
          <w:sz w:val="24"/>
          <w:szCs w:val="24"/>
          <w:u w:val="single"/>
        </w:rPr>
        <w:t>Other matters referred to by C in relation to s.3(5)</w:t>
      </w:r>
      <w:r w:rsidR="00620D1C">
        <w:rPr>
          <w:sz w:val="24"/>
          <w:szCs w:val="24"/>
        </w:rPr>
        <w:t xml:space="preserve"> [75]-[83]</w:t>
      </w:r>
    </w:p>
    <w:p w14:paraId="6A7C0B43" w14:textId="536B4420" w:rsidR="00BF23B7" w:rsidRPr="00620D1C" w:rsidRDefault="00BF23B7" w:rsidP="008F3B79">
      <w:pPr>
        <w:contextualSpacing/>
        <w:rPr>
          <w:sz w:val="24"/>
          <w:szCs w:val="24"/>
        </w:rPr>
      </w:pPr>
      <w:r w:rsidRPr="0063356B">
        <w:rPr>
          <w:sz w:val="24"/>
          <w:szCs w:val="24"/>
          <w:u w:val="single"/>
        </w:rPr>
        <w:t>GOA[5] – Further preliminary trial on s.3(5)</w:t>
      </w:r>
      <w:r w:rsidR="00620D1C">
        <w:rPr>
          <w:sz w:val="24"/>
          <w:szCs w:val="24"/>
        </w:rPr>
        <w:t xml:space="preserve"> [84]-[99]</w:t>
      </w:r>
    </w:p>
    <w:p w14:paraId="3DBDCC7E" w14:textId="06168B3F" w:rsidR="00DC6C64" w:rsidRDefault="00DC6C64" w:rsidP="008F3B79">
      <w:pPr>
        <w:contextualSpacing/>
        <w:rPr>
          <w:sz w:val="24"/>
          <w:szCs w:val="24"/>
        </w:rPr>
      </w:pPr>
    </w:p>
    <w:p w14:paraId="0055DCED" w14:textId="34D2FFF3" w:rsidR="007F2EFB" w:rsidRPr="00DC6C64" w:rsidRDefault="007F2EFB" w:rsidP="008F3B79">
      <w:pPr>
        <w:contextualSpacing/>
        <w:rPr>
          <w:sz w:val="24"/>
          <w:szCs w:val="24"/>
        </w:rPr>
      </w:pPr>
      <w:r>
        <w:rPr>
          <w:sz w:val="24"/>
          <w:szCs w:val="24"/>
        </w:rPr>
        <w:t xml:space="preserve">This SA adopts the Definitions in the GOA. </w:t>
      </w:r>
    </w:p>
    <w:bookmarkEnd w:id="1"/>
    <w:p w14:paraId="13C185DB" w14:textId="377CCBE4" w:rsidR="003422FA" w:rsidRPr="003422FA" w:rsidRDefault="00C42DC5" w:rsidP="003422FA">
      <w:pPr>
        <w:spacing w:before="240" w:after="240" w:line="360" w:lineRule="auto"/>
        <w:rPr>
          <w:b/>
          <w:bCs/>
          <w:sz w:val="24"/>
          <w:szCs w:val="24"/>
        </w:rPr>
      </w:pPr>
      <w:r>
        <w:rPr>
          <w:b/>
          <w:bCs/>
          <w:sz w:val="24"/>
          <w:szCs w:val="24"/>
        </w:rPr>
        <w:t xml:space="preserve">Overview </w:t>
      </w:r>
    </w:p>
    <w:p w14:paraId="0EAD6151" w14:textId="45B46B2C" w:rsidR="008A378E" w:rsidRDefault="003422FA" w:rsidP="006203FB">
      <w:pPr>
        <w:pStyle w:val="ListParagraph"/>
        <w:numPr>
          <w:ilvl w:val="0"/>
          <w:numId w:val="1"/>
        </w:numPr>
        <w:spacing w:before="240" w:after="240" w:line="360" w:lineRule="auto"/>
        <w:ind w:left="357" w:hanging="357"/>
        <w:contextualSpacing w:val="0"/>
        <w:rPr>
          <w:sz w:val="24"/>
          <w:szCs w:val="24"/>
        </w:rPr>
      </w:pPr>
      <w:r w:rsidRPr="00E01091">
        <w:rPr>
          <w:sz w:val="24"/>
          <w:szCs w:val="24"/>
        </w:rPr>
        <w:t xml:space="preserve">This </w:t>
      </w:r>
      <w:r w:rsidR="00C42DC5" w:rsidRPr="00E01091">
        <w:rPr>
          <w:sz w:val="24"/>
          <w:szCs w:val="24"/>
        </w:rPr>
        <w:t xml:space="preserve">should be </w:t>
      </w:r>
      <w:r w:rsidRPr="00E01091">
        <w:rPr>
          <w:sz w:val="24"/>
          <w:szCs w:val="24"/>
        </w:rPr>
        <w:t>a straightforward case</w:t>
      </w:r>
      <w:r w:rsidR="0064562F" w:rsidRPr="00E01091">
        <w:rPr>
          <w:sz w:val="24"/>
          <w:szCs w:val="24"/>
        </w:rPr>
        <w:t xml:space="preserve">. The Interview is </w:t>
      </w:r>
      <w:r w:rsidR="00AF138A">
        <w:rPr>
          <w:sz w:val="24"/>
          <w:szCs w:val="24"/>
        </w:rPr>
        <w:t xml:space="preserve">around </w:t>
      </w:r>
      <w:r w:rsidR="00591A33" w:rsidRPr="00E01091">
        <w:rPr>
          <w:sz w:val="24"/>
          <w:szCs w:val="24"/>
        </w:rPr>
        <w:t>90 seconds</w:t>
      </w:r>
      <w:r w:rsidR="0064562F" w:rsidRPr="00E01091">
        <w:rPr>
          <w:sz w:val="24"/>
          <w:szCs w:val="24"/>
        </w:rPr>
        <w:t xml:space="preserve"> and the Broadcast </w:t>
      </w:r>
      <w:r w:rsidR="00AF138A">
        <w:rPr>
          <w:sz w:val="24"/>
          <w:szCs w:val="24"/>
        </w:rPr>
        <w:t>70</w:t>
      </w:r>
      <w:r w:rsidR="0064562F" w:rsidRPr="00E01091">
        <w:rPr>
          <w:sz w:val="24"/>
          <w:szCs w:val="24"/>
        </w:rPr>
        <w:t xml:space="preserve"> seconds</w:t>
      </w:r>
      <w:r w:rsidRPr="00E01091">
        <w:rPr>
          <w:sz w:val="24"/>
          <w:szCs w:val="24"/>
        </w:rPr>
        <w:t xml:space="preserve">.  </w:t>
      </w:r>
      <w:r w:rsidR="00AF2A99" w:rsidRPr="00E01091">
        <w:rPr>
          <w:sz w:val="24"/>
          <w:szCs w:val="24"/>
        </w:rPr>
        <w:t xml:space="preserve">The Judge correctly held that </w:t>
      </w:r>
      <w:r w:rsidR="00E01091" w:rsidRPr="00E01091">
        <w:rPr>
          <w:sz w:val="24"/>
          <w:szCs w:val="24"/>
        </w:rPr>
        <w:t xml:space="preserve">the Opinion </w:t>
      </w:r>
      <w:r w:rsidR="00AF2A99" w:rsidRPr="00E01091">
        <w:rPr>
          <w:sz w:val="24"/>
          <w:szCs w:val="24"/>
        </w:rPr>
        <w:t xml:space="preserve">satisfied the three conditions of the defence of honest opinion </w:t>
      </w:r>
      <w:r w:rsidR="00E01091" w:rsidRPr="00E01091">
        <w:rPr>
          <w:sz w:val="24"/>
          <w:szCs w:val="24"/>
        </w:rPr>
        <w:t xml:space="preserve">in </w:t>
      </w:r>
      <w:r w:rsidR="00AF2A99" w:rsidRPr="00E01091">
        <w:rPr>
          <w:sz w:val="24"/>
          <w:szCs w:val="24"/>
        </w:rPr>
        <w:t>s.3(2)-(4)</w:t>
      </w:r>
      <w:r w:rsidR="00E01091" w:rsidRPr="00E01091">
        <w:rPr>
          <w:sz w:val="24"/>
          <w:szCs w:val="24"/>
        </w:rPr>
        <w:t>.</w:t>
      </w:r>
      <w:r w:rsidR="00AF2A99" w:rsidRPr="00E01091">
        <w:rPr>
          <w:sz w:val="24"/>
          <w:szCs w:val="24"/>
        </w:rPr>
        <w:t xml:space="preserve">  </w:t>
      </w:r>
      <w:r w:rsidR="008A378E" w:rsidRPr="00E01091">
        <w:rPr>
          <w:sz w:val="24"/>
          <w:szCs w:val="24"/>
        </w:rPr>
        <w:t xml:space="preserve">The s.3(4) case was solely based on the Answer in the context of the Interview. </w:t>
      </w:r>
    </w:p>
    <w:p w14:paraId="6A5247CC" w14:textId="7ADC3A64" w:rsidR="00E01091" w:rsidRPr="0064562F" w:rsidRDefault="00E01091" w:rsidP="00E01091">
      <w:pPr>
        <w:pStyle w:val="ListParagraph"/>
        <w:numPr>
          <w:ilvl w:val="0"/>
          <w:numId w:val="1"/>
        </w:numPr>
        <w:spacing w:before="240" w:after="240" w:line="360" w:lineRule="auto"/>
        <w:ind w:left="357" w:hanging="357"/>
        <w:contextualSpacing w:val="0"/>
        <w:rPr>
          <w:sz w:val="24"/>
          <w:szCs w:val="24"/>
        </w:rPr>
      </w:pPr>
      <w:r>
        <w:rPr>
          <w:sz w:val="24"/>
          <w:szCs w:val="24"/>
        </w:rPr>
        <w:lastRenderedPageBreak/>
        <w:t>The Judge correctly found</w:t>
      </w:r>
      <w:r w:rsidR="007F2EFB">
        <w:rPr>
          <w:sz w:val="24"/>
          <w:szCs w:val="24"/>
        </w:rPr>
        <w:t xml:space="preserve"> (J[115]) </w:t>
      </w:r>
      <w:r>
        <w:rPr>
          <w:sz w:val="24"/>
          <w:szCs w:val="24"/>
        </w:rPr>
        <w:t xml:space="preserve">that the additional opinion in the CrowdJustice publication that C was acting </w:t>
      </w:r>
      <w:r w:rsidR="00745020">
        <w:rPr>
          <w:sz w:val="24"/>
          <w:szCs w:val="24"/>
        </w:rPr>
        <w:t xml:space="preserve">as </w:t>
      </w:r>
      <w:r>
        <w:rPr>
          <w:sz w:val="24"/>
          <w:szCs w:val="24"/>
        </w:rPr>
        <w:t xml:space="preserve">an apologist for Hamas added nothing to the Opinion from a defamation perspective. </w:t>
      </w:r>
      <w:r w:rsidRPr="0064562F">
        <w:rPr>
          <w:sz w:val="24"/>
          <w:szCs w:val="24"/>
        </w:rPr>
        <w:t xml:space="preserve">The Answer is intrinsically an apology for violence. </w:t>
      </w:r>
    </w:p>
    <w:p w14:paraId="0A067F2B" w14:textId="669FD27F" w:rsidR="008A378E" w:rsidRDefault="00056FD2" w:rsidP="00EA34F2">
      <w:pPr>
        <w:pStyle w:val="ListParagraph"/>
        <w:numPr>
          <w:ilvl w:val="0"/>
          <w:numId w:val="1"/>
        </w:numPr>
        <w:spacing w:before="240" w:after="240" w:line="360" w:lineRule="auto"/>
        <w:ind w:left="357" w:hanging="357"/>
        <w:contextualSpacing w:val="0"/>
        <w:rPr>
          <w:sz w:val="24"/>
          <w:szCs w:val="24"/>
        </w:rPr>
      </w:pPr>
      <w:r>
        <w:rPr>
          <w:sz w:val="24"/>
          <w:szCs w:val="24"/>
        </w:rPr>
        <w:t>Th</w:t>
      </w:r>
      <w:r w:rsidR="00E31FA2">
        <w:rPr>
          <w:sz w:val="24"/>
          <w:szCs w:val="24"/>
        </w:rPr>
        <w:t xml:space="preserve">is </w:t>
      </w:r>
      <w:r>
        <w:rPr>
          <w:sz w:val="24"/>
          <w:szCs w:val="24"/>
        </w:rPr>
        <w:t xml:space="preserve">should have been the end of the claim. However, the Judge rejected </w:t>
      </w:r>
      <w:r w:rsidR="008A378E">
        <w:rPr>
          <w:sz w:val="24"/>
          <w:szCs w:val="24"/>
        </w:rPr>
        <w:t xml:space="preserve">D’s </w:t>
      </w:r>
      <w:r w:rsidR="00911D80">
        <w:rPr>
          <w:sz w:val="24"/>
          <w:szCs w:val="24"/>
        </w:rPr>
        <w:t xml:space="preserve">SJ </w:t>
      </w:r>
      <w:r w:rsidR="008A378E">
        <w:rPr>
          <w:sz w:val="24"/>
          <w:szCs w:val="24"/>
        </w:rPr>
        <w:t xml:space="preserve">application in relation to s.3(5).  The sole fact relied on by the Judge in doing so was the Interview.  </w:t>
      </w:r>
      <w:r w:rsidR="00AF2A99">
        <w:rPr>
          <w:sz w:val="24"/>
          <w:szCs w:val="24"/>
        </w:rPr>
        <w:t xml:space="preserve">If the Interview </w:t>
      </w:r>
      <w:r w:rsidR="00A02BD9">
        <w:rPr>
          <w:sz w:val="24"/>
          <w:szCs w:val="24"/>
        </w:rPr>
        <w:t xml:space="preserve">does not raise the probability that the D did not hold the Opinion </w:t>
      </w:r>
      <w:r w:rsidR="00AF2A99">
        <w:rPr>
          <w:sz w:val="24"/>
          <w:szCs w:val="24"/>
        </w:rPr>
        <w:t xml:space="preserve">there is nothing else on which C can rely. The Interview is therefore the sole fact for </w:t>
      </w:r>
      <w:r w:rsidR="00B01395">
        <w:rPr>
          <w:sz w:val="24"/>
          <w:szCs w:val="24"/>
        </w:rPr>
        <w:t xml:space="preserve">the purposes of </w:t>
      </w:r>
      <w:r w:rsidR="00AF2A99">
        <w:rPr>
          <w:sz w:val="24"/>
          <w:szCs w:val="24"/>
        </w:rPr>
        <w:t xml:space="preserve">s.3(4) and s.3(5).  </w:t>
      </w:r>
      <w:r w:rsidR="008A378E">
        <w:rPr>
          <w:sz w:val="24"/>
          <w:szCs w:val="24"/>
        </w:rPr>
        <w:t xml:space="preserve"> </w:t>
      </w:r>
    </w:p>
    <w:p w14:paraId="701ADECE" w14:textId="77777777" w:rsidR="007F09F8" w:rsidRDefault="008A378E"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The Judge’s </w:t>
      </w:r>
      <w:r w:rsidR="00C42DC5">
        <w:rPr>
          <w:sz w:val="24"/>
          <w:szCs w:val="24"/>
        </w:rPr>
        <w:t xml:space="preserve">sole </w:t>
      </w:r>
      <w:r w:rsidR="00CA7540">
        <w:rPr>
          <w:sz w:val="24"/>
          <w:szCs w:val="24"/>
        </w:rPr>
        <w:t xml:space="preserve">stated </w:t>
      </w:r>
      <w:r>
        <w:rPr>
          <w:sz w:val="24"/>
          <w:szCs w:val="24"/>
        </w:rPr>
        <w:t xml:space="preserve">reason </w:t>
      </w:r>
      <w:r w:rsidR="00B9694D">
        <w:rPr>
          <w:sz w:val="24"/>
          <w:szCs w:val="24"/>
        </w:rPr>
        <w:t xml:space="preserve">at [119] </w:t>
      </w:r>
      <w:r>
        <w:rPr>
          <w:sz w:val="24"/>
          <w:szCs w:val="24"/>
        </w:rPr>
        <w:t xml:space="preserve">for allowing </w:t>
      </w:r>
      <w:r w:rsidR="00C42DC5">
        <w:rPr>
          <w:sz w:val="24"/>
          <w:szCs w:val="24"/>
        </w:rPr>
        <w:t xml:space="preserve">C to advance a </w:t>
      </w:r>
      <w:r>
        <w:rPr>
          <w:sz w:val="24"/>
          <w:szCs w:val="24"/>
        </w:rPr>
        <w:t xml:space="preserve">s.3(5) </w:t>
      </w:r>
      <w:r w:rsidR="00C42DC5">
        <w:rPr>
          <w:sz w:val="24"/>
          <w:szCs w:val="24"/>
        </w:rPr>
        <w:t xml:space="preserve">case </w:t>
      </w:r>
      <w:r>
        <w:rPr>
          <w:sz w:val="24"/>
          <w:szCs w:val="24"/>
        </w:rPr>
        <w:t xml:space="preserve">was that it was </w:t>
      </w:r>
      <w:r w:rsidR="00626C44">
        <w:rPr>
          <w:sz w:val="24"/>
          <w:szCs w:val="24"/>
        </w:rPr>
        <w:t>“</w:t>
      </w:r>
      <w:r w:rsidRPr="00626C44">
        <w:rPr>
          <w:i/>
          <w:iCs/>
          <w:sz w:val="24"/>
          <w:szCs w:val="24"/>
        </w:rPr>
        <w:t>properly arguable</w:t>
      </w:r>
      <w:r w:rsidR="00626C44">
        <w:rPr>
          <w:sz w:val="24"/>
          <w:szCs w:val="24"/>
        </w:rPr>
        <w:t>”</w:t>
      </w:r>
      <w:r>
        <w:rPr>
          <w:sz w:val="24"/>
          <w:szCs w:val="24"/>
        </w:rPr>
        <w:t xml:space="preserve"> that </w:t>
      </w:r>
      <w:r w:rsidR="000073A7">
        <w:rPr>
          <w:sz w:val="24"/>
          <w:szCs w:val="24"/>
        </w:rPr>
        <w:t>D</w:t>
      </w:r>
      <w:r>
        <w:rPr>
          <w:sz w:val="24"/>
          <w:szCs w:val="24"/>
        </w:rPr>
        <w:t xml:space="preserve"> </w:t>
      </w:r>
      <w:r w:rsidR="00626C44">
        <w:rPr>
          <w:sz w:val="24"/>
          <w:szCs w:val="24"/>
        </w:rPr>
        <w:t>“</w:t>
      </w:r>
      <w:r w:rsidRPr="00626C44">
        <w:rPr>
          <w:i/>
          <w:iCs/>
          <w:sz w:val="24"/>
          <w:szCs w:val="24"/>
        </w:rPr>
        <w:t>should have realised</w:t>
      </w:r>
      <w:r w:rsidR="00626C44">
        <w:rPr>
          <w:sz w:val="24"/>
          <w:szCs w:val="24"/>
        </w:rPr>
        <w:t>”</w:t>
      </w:r>
      <w:r>
        <w:rPr>
          <w:sz w:val="24"/>
          <w:szCs w:val="24"/>
        </w:rPr>
        <w:t xml:space="preserve"> from the Interview that </w:t>
      </w:r>
      <w:r w:rsidR="00626C44">
        <w:rPr>
          <w:sz w:val="24"/>
          <w:szCs w:val="24"/>
        </w:rPr>
        <w:t>C</w:t>
      </w:r>
      <w:r w:rsidR="00CA7540">
        <w:rPr>
          <w:sz w:val="24"/>
          <w:szCs w:val="24"/>
        </w:rPr>
        <w:t xml:space="preserve"> </w:t>
      </w:r>
      <w:r w:rsidR="00626C44">
        <w:rPr>
          <w:sz w:val="24"/>
          <w:szCs w:val="24"/>
        </w:rPr>
        <w:t>“</w:t>
      </w:r>
      <w:r w:rsidR="00CA7540" w:rsidRPr="00626C44">
        <w:rPr>
          <w:i/>
          <w:iCs/>
          <w:sz w:val="24"/>
          <w:szCs w:val="24"/>
        </w:rPr>
        <w:t>was not calling Hamas freedom fighters</w:t>
      </w:r>
      <w:r w:rsidR="00626C44">
        <w:rPr>
          <w:sz w:val="24"/>
          <w:szCs w:val="24"/>
        </w:rPr>
        <w:t>”</w:t>
      </w:r>
      <w:r w:rsidR="00CA7540">
        <w:rPr>
          <w:sz w:val="24"/>
          <w:szCs w:val="24"/>
        </w:rPr>
        <w:t xml:space="preserve">. This is obviously incapable of satisfying s.3(5), which </w:t>
      </w:r>
      <w:r w:rsidR="00CA1D37">
        <w:rPr>
          <w:sz w:val="24"/>
          <w:szCs w:val="24"/>
        </w:rPr>
        <w:t xml:space="preserve">is </w:t>
      </w:r>
      <w:r w:rsidR="00450441">
        <w:rPr>
          <w:sz w:val="24"/>
          <w:szCs w:val="24"/>
        </w:rPr>
        <w:t xml:space="preserve">an allegation of dishonesty and is </w:t>
      </w:r>
      <w:r w:rsidR="00CA7540">
        <w:rPr>
          <w:sz w:val="24"/>
          <w:szCs w:val="24"/>
        </w:rPr>
        <w:t>directed to what the defendant believed</w:t>
      </w:r>
      <w:r w:rsidR="00450441">
        <w:rPr>
          <w:sz w:val="24"/>
          <w:szCs w:val="24"/>
        </w:rPr>
        <w:t>,</w:t>
      </w:r>
      <w:r w:rsidR="00CA7540">
        <w:rPr>
          <w:sz w:val="24"/>
          <w:szCs w:val="24"/>
        </w:rPr>
        <w:t xml:space="preserve"> not what he should have </w:t>
      </w:r>
      <w:r w:rsidR="00AF138A">
        <w:rPr>
          <w:sz w:val="24"/>
          <w:szCs w:val="24"/>
        </w:rPr>
        <w:t>realised</w:t>
      </w:r>
      <w:r w:rsidR="00CA7540">
        <w:rPr>
          <w:sz w:val="24"/>
          <w:szCs w:val="24"/>
        </w:rPr>
        <w:t xml:space="preserve">. </w:t>
      </w:r>
    </w:p>
    <w:p w14:paraId="12E8D281" w14:textId="36959155" w:rsidR="00AF2A99" w:rsidRDefault="00CA7540"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The finding </w:t>
      </w:r>
      <w:r w:rsidR="000073A7">
        <w:rPr>
          <w:sz w:val="24"/>
          <w:szCs w:val="24"/>
        </w:rPr>
        <w:t>as to what D “</w:t>
      </w:r>
      <w:r w:rsidR="000073A7" w:rsidRPr="00626C44">
        <w:rPr>
          <w:i/>
          <w:iCs/>
          <w:sz w:val="24"/>
          <w:szCs w:val="24"/>
        </w:rPr>
        <w:t>should have realised</w:t>
      </w:r>
      <w:r w:rsidR="000073A7">
        <w:rPr>
          <w:sz w:val="24"/>
          <w:szCs w:val="24"/>
        </w:rPr>
        <w:t xml:space="preserve">” </w:t>
      </w:r>
      <w:r>
        <w:rPr>
          <w:sz w:val="24"/>
          <w:szCs w:val="24"/>
        </w:rPr>
        <w:t xml:space="preserve">appears to be based on </w:t>
      </w:r>
      <w:r w:rsidR="000073A7">
        <w:rPr>
          <w:sz w:val="24"/>
          <w:szCs w:val="24"/>
        </w:rPr>
        <w:t xml:space="preserve">the </w:t>
      </w:r>
      <w:r w:rsidR="00B01395">
        <w:rPr>
          <w:sz w:val="24"/>
          <w:szCs w:val="24"/>
        </w:rPr>
        <w:t xml:space="preserve">finding </w:t>
      </w:r>
      <w:r w:rsidR="007F2EFB">
        <w:rPr>
          <w:sz w:val="24"/>
          <w:szCs w:val="24"/>
        </w:rPr>
        <w:t xml:space="preserve">at J[134] </w:t>
      </w:r>
      <w:r w:rsidR="00B01395">
        <w:rPr>
          <w:sz w:val="24"/>
          <w:szCs w:val="24"/>
        </w:rPr>
        <w:t xml:space="preserve">for the purposes of </w:t>
      </w:r>
      <w:r>
        <w:rPr>
          <w:sz w:val="24"/>
          <w:szCs w:val="24"/>
        </w:rPr>
        <w:t xml:space="preserve">s.2 </w:t>
      </w:r>
      <w:r w:rsidR="00B01395">
        <w:rPr>
          <w:sz w:val="24"/>
          <w:szCs w:val="24"/>
        </w:rPr>
        <w:t>that “</w:t>
      </w:r>
      <w:r w:rsidR="00B01395" w:rsidRPr="006B3523">
        <w:rPr>
          <w:i/>
          <w:iCs/>
          <w:sz w:val="24"/>
          <w:szCs w:val="24"/>
        </w:rPr>
        <w:t>it was not substantially true to say that there were reasonable grounds for suspecting that Mr Vince called Hamas freedom fighters</w:t>
      </w:r>
      <w:r w:rsidR="00B01395">
        <w:rPr>
          <w:sz w:val="24"/>
          <w:szCs w:val="24"/>
        </w:rPr>
        <w:t xml:space="preserve">”. </w:t>
      </w:r>
      <w:r>
        <w:rPr>
          <w:sz w:val="24"/>
          <w:szCs w:val="24"/>
        </w:rPr>
        <w:t xml:space="preserve">A finding that an allegation is </w:t>
      </w:r>
      <w:r w:rsidR="00B22B84">
        <w:rPr>
          <w:sz w:val="24"/>
          <w:szCs w:val="24"/>
        </w:rPr>
        <w:t xml:space="preserve">not substantially true </w:t>
      </w:r>
      <w:r>
        <w:rPr>
          <w:sz w:val="24"/>
          <w:szCs w:val="24"/>
        </w:rPr>
        <w:t xml:space="preserve">may be a proper basis </w:t>
      </w:r>
      <w:r w:rsidR="00CE573D">
        <w:rPr>
          <w:sz w:val="24"/>
          <w:szCs w:val="24"/>
        </w:rPr>
        <w:t xml:space="preserve">for an evaluative finding that a </w:t>
      </w:r>
      <w:r>
        <w:rPr>
          <w:sz w:val="24"/>
          <w:szCs w:val="24"/>
        </w:rPr>
        <w:t xml:space="preserve">defendant ought to have </w:t>
      </w:r>
      <w:r w:rsidR="00B22B84">
        <w:rPr>
          <w:sz w:val="24"/>
          <w:szCs w:val="24"/>
        </w:rPr>
        <w:t xml:space="preserve">realised </w:t>
      </w:r>
      <w:r w:rsidR="00CE573D">
        <w:rPr>
          <w:sz w:val="24"/>
          <w:szCs w:val="24"/>
        </w:rPr>
        <w:t xml:space="preserve">that </w:t>
      </w:r>
      <w:r w:rsidR="00B22B84">
        <w:rPr>
          <w:sz w:val="24"/>
          <w:szCs w:val="24"/>
        </w:rPr>
        <w:t>it was untrue</w:t>
      </w:r>
      <w:r w:rsidR="00A6205D">
        <w:rPr>
          <w:sz w:val="24"/>
          <w:szCs w:val="24"/>
        </w:rPr>
        <w:t xml:space="preserve">.  But </w:t>
      </w:r>
      <w:r w:rsidR="00745020">
        <w:rPr>
          <w:sz w:val="24"/>
          <w:szCs w:val="24"/>
        </w:rPr>
        <w:t xml:space="preserve">it </w:t>
      </w:r>
      <w:r w:rsidR="00A6205D">
        <w:rPr>
          <w:sz w:val="24"/>
          <w:szCs w:val="24"/>
        </w:rPr>
        <w:t xml:space="preserve">is well-established that </w:t>
      </w:r>
      <w:r w:rsidR="00A02BD9">
        <w:rPr>
          <w:sz w:val="24"/>
          <w:szCs w:val="24"/>
        </w:rPr>
        <w:t xml:space="preserve">the “probability test” </w:t>
      </w:r>
      <w:r w:rsidR="00AA42AB">
        <w:rPr>
          <w:sz w:val="24"/>
          <w:szCs w:val="24"/>
        </w:rPr>
        <w:t>(see [</w:t>
      </w:r>
      <w:r w:rsidR="00620D1C">
        <w:rPr>
          <w:sz w:val="24"/>
          <w:szCs w:val="24"/>
        </w:rPr>
        <w:t>13</w:t>
      </w:r>
      <w:r w:rsidR="00AA42AB">
        <w:rPr>
          <w:sz w:val="24"/>
          <w:szCs w:val="24"/>
        </w:rPr>
        <w:t xml:space="preserve">] below) </w:t>
      </w:r>
      <w:r w:rsidR="00A02BD9">
        <w:rPr>
          <w:sz w:val="24"/>
          <w:szCs w:val="24"/>
        </w:rPr>
        <w:t xml:space="preserve">prevents the further inference that the </w:t>
      </w:r>
      <w:r w:rsidR="00B22B84">
        <w:rPr>
          <w:sz w:val="24"/>
          <w:szCs w:val="24"/>
        </w:rPr>
        <w:t xml:space="preserve">defendant </w:t>
      </w:r>
      <w:r w:rsidR="005F6086">
        <w:rPr>
          <w:sz w:val="24"/>
          <w:szCs w:val="24"/>
        </w:rPr>
        <w:t>knew that it was untrue</w:t>
      </w:r>
      <w:r w:rsidR="00A02BD9">
        <w:rPr>
          <w:sz w:val="24"/>
          <w:szCs w:val="24"/>
        </w:rPr>
        <w:t xml:space="preserve">. This is because falsity </w:t>
      </w:r>
      <w:r w:rsidR="00911D80">
        <w:rPr>
          <w:sz w:val="24"/>
          <w:szCs w:val="24"/>
        </w:rPr>
        <w:t xml:space="preserve">is, </w:t>
      </w:r>
      <w:r w:rsidR="00A02BD9">
        <w:rPr>
          <w:sz w:val="24"/>
          <w:szCs w:val="24"/>
        </w:rPr>
        <w:t xml:space="preserve">of itself, </w:t>
      </w:r>
      <w:r w:rsidR="00911D80">
        <w:rPr>
          <w:sz w:val="24"/>
          <w:szCs w:val="24"/>
        </w:rPr>
        <w:t xml:space="preserve">equally </w:t>
      </w:r>
      <w:r w:rsidR="00A02BD9">
        <w:rPr>
          <w:sz w:val="24"/>
          <w:szCs w:val="24"/>
        </w:rPr>
        <w:t xml:space="preserve">or more </w:t>
      </w:r>
      <w:r w:rsidR="00911D80">
        <w:rPr>
          <w:sz w:val="24"/>
          <w:szCs w:val="24"/>
        </w:rPr>
        <w:t xml:space="preserve">consistent with a mistaken belief. </w:t>
      </w:r>
    </w:p>
    <w:p w14:paraId="2AB1ECD3" w14:textId="6DB91A4B" w:rsidR="00910DDA" w:rsidRDefault="00910DDA"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The Judge’s amplification of [119] in his reasons for refusing permission compound this error. They demonstrate that the Judge was proceeding on the misconception that a s.3(5) case can be advanced </w:t>
      </w:r>
      <w:r w:rsidR="00A02BD9">
        <w:rPr>
          <w:sz w:val="24"/>
          <w:szCs w:val="24"/>
        </w:rPr>
        <w:t xml:space="preserve">merely </w:t>
      </w:r>
      <w:r>
        <w:rPr>
          <w:sz w:val="24"/>
          <w:szCs w:val="24"/>
        </w:rPr>
        <w:t xml:space="preserve">on the basis </w:t>
      </w:r>
      <w:r w:rsidR="00A02BD9">
        <w:rPr>
          <w:sz w:val="24"/>
          <w:szCs w:val="24"/>
        </w:rPr>
        <w:t xml:space="preserve">of something </w:t>
      </w:r>
      <w:r>
        <w:rPr>
          <w:sz w:val="24"/>
          <w:szCs w:val="24"/>
        </w:rPr>
        <w:t xml:space="preserve">that it </w:t>
      </w:r>
      <w:r w:rsidR="00A02BD9">
        <w:rPr>
          <w:sz w:val="24"/>
          <w:szCs w:val="24"/>
        </w:rPr>
        <w:t xml:space="preserve">is </w:t>
      </w:r>
      <w:r w:rsidR="000164BA">
        <w:rPr>
          <w:sz w:val="24"/>
          <w:szCs w:val="24"/>
        </w:rPr>
        <w:t>“</w:t>
      </w:r>
      <w:r w:rsidRPr="000164BA">
        <w:rPr>
          <w:i/>
          <w:iCs/>
          <w:sz w:val="24"/>
          <w:szCs w:val="24"/>
        </w:rPr>
        <w:t>capable of casting doubt</w:t>
      </w:r>
      <w:r w:rsidR="000164BA">
        <w:rPr>
          <w:sz w:val="24"/>
          <w:szCs w:val="24"/>
        </w:rPr>
        <w:t>”</w:t>
      </w:r>
      <w:r w:rsidR="007F2EFB">
        <w:rPr>
          <w:rStyle w:val="FootnoteReference"/>
          <w:sz w:val="24"/>
          <w:szCs w:val="24"/>
        </w:rPr>
        <w:footnoteReference w:id="2"/>
      </w:r>
      <w:r>
        <w:rPr>
          <w:sz w:val="24"/>
          <w:szCs w:val="24"/>
        </w:rPr>
        <w:t xml:space="preserve"> on </w:t>
      </w:r>
      <w:r w:rsidR="00A02BD9">
        <w:rPr>
          <w:sz w:val="24"/>
          <w:szCs w:val="24"/>
        </w:rPr>
        <w:t xml:space="preserve">whether the defendant held the opinion. </w:t>
      </w:r>
    </w:p>
    <w:p w14:paraId="19C74046" w14:textId="23DD1269" w:rsidR="007F09F8" w:rsidRDefault="008A378E" w:rsidP="00CB0DD7">
      <w:pPr>
        <w:pStyle w:val="ListParagraph"/>
        <w:numPr>
          <w:ilvl w:val="0"/>
          <w:numId w:val="1"/>
        </w:numPr>
        <w:spacing w:before="240" w:after="240" w:line="360" w:lineRule="auto"/>
        <w:ind w:left="357" w:hanging="357"/>
        <w:contextualSpacing w:val="0"/>
        <w:rPr>
          <w:sz w:val="24"/>
          <w:szCs w:val="24"/>
        </w:rPr>
      </w:pPr>
      <w:r w:rsidRPr="007211D6">
        <w:rPr>
          <w:sz w:val="24"/>
          <w:szCs w:val="24"/>
        </w:rPr>
        <w:t xml:space="preserve">The proposed appeal engages the </w:t>
      </w:r>
      <w:r w:rsidR="00C42DC5" w:rsidRPr="007211D6">
        <w:rPr>
          <w:sz w:val="24"/>
          <w:szCs w:val="24"/>
        </w:rPr>
        <w:t xml:space="preserve">substantive and procedural </w:t>
      </w:r>
      <w:r w:rsidRPr="007211D6">
        <w:rPr>
          <w:sz w:val="24"/>
          <w:szCs w:val="24"/>
        </w:rPr>
        <w:t xml:space="preserve">interrelationship between </w:t>
      </w:r>
      <w:r w:rsidR="00CA7540" w:rsidRPr="007211D6">
        <w:rPr>
          <w:sz w:val="24"/>
          <w:szCs w:val="24"/>
        </w:rPr>
        <w:t>s</w:t>
      </w:r>
      <w:r w:rsidRPr="007211D6">
        <w:rPr>
          <w:sz w:val="24"/>
          <w:szCs w:val="24"/>
        </w:rPr>
        <w:t>.3(4)</w:t>
      </w:r>
      <w:r w:rsidR="00CA7540" w:rsidRPr="007211D6">
        <w:rPr>
          <w:sz w:val="24"/>
          <w:szCs w:val="24"/>
        </w:rPr>
        <w:t>, 3</w:t>
      </w:r>
      <w:r w:rsidRPr="007211D6">
        <w:rPr>
          <w:sz w:val="24"/>
          <w:szCs w:val="24"/>
        </w:rPr>
        <w:t xml:space="preserve">(5) </w:t>
      </w:r>
      <w:r w:rsidR="00CA7540" w:rsidRPr="007211D6">
        <w:rPr>
          <w:sz w:val="24"/>
          <w:szCs w:val="24"/>
        </w:rPr>
        <w:t xml:space="preserve">and 2 </w:t>
      </w:r>
      <w:r w:rsidRPr="007211D6">
        <w:rPr>
          <w:sz w:val="24"/>
          <w:szCs w:val="24"/>
        </w:rPr>
        <w:t>in a case</w:t>
      </w:r>
      <w:r w:rsidR="00A6205D" w:rsidRPr="007211D6">
        <w:rPr>
          <w:sz w:val="24"/>
          <w:szCs w:val="24"/>
        </w:rPr>
        <w:t xml:space="preserve"> where the </w:t>
      </w:r>
      <w:r w:rsidR="000801F3" w:rsidRPr="007211D6">
        <w:rPr>
          <w:sz w:val="24"/>
          <w:szCs w:val="24"/>
        </w:rPr>
        <w:t xml:space="preserve">defendant relies on a single primary </w:t>
      </w:r>
      <w:r w:rsidR="00A6205D" w:rsidRPr="007211D6">
        <w:rPr>
          <w:sz w:val="24"/>
          <w:szCs w:val="24"/>
        </w:rPr>
        <w:t xml:space="preserve">fact </w:t>
      </w:r>
      <w:r w:rsidR="000801F3" w:rsidRPr="007211D6">
        <w:rPr>
          <w:sz w:val="24"/>
          <w:szCs w:val="24"/>
        </w:rPr>
        <w:t xml:space="preserve">that </w:t>
      </w:r>
      <w:r w:rsidR="00A6205D" w:rsidRPr="007211D6">
        <w:rPr>
          <w:sz w:val="24"/>
          <w:szCs w:val="24"/>
        </w:rPr>
        <w:t>is not in dispute</w:t>
      </w:r>
      <w:r w:rsidR="000801F3" w:rsidRPr="007211D6">
        <w:rPr>
          <w:sz w:val="24"/>
          <w:szCs w:val="24"/>
        </w:rPr>
        <w:t xml:space="preserve"> and no other fact is relevant</w:t>
      </w:r>
      <w:r w:rsidRPr="007211D6">
        <w:rPr>
          <w:sz w:val="24"/>
          <w:szCs w:val="24"/>
        </w:rPr>
        <w:t xml:space="preserve">.  </w:t>
      </w:r>
      <w:r w:rsidR="00670FFF">
        <w:rPr>
          <w:sz w:val="24"/>
          <w:szCs w:val="24"/>
        </w:rPr>
        <w:t xml:space="preserve">There is, at least, a real </w:t>
      </w:r>
      <w:r w:rsidR="00670FFF">
        <w:rPr>
          <w:sz w:val="24"/>
          <w:szCs w:val="24"/>
        </w:rPr>
        <w:lastRenderedPageBreak/>
        <w:t>prospect of the Court of Appeal concluding that the Judge erred is his approach to s.3(5)</w:t>
      </w:r>
      <w:r w:rsidR="00680378">
        <w:rPr>
          <w:sz w:val="24"/>
          <w:szCs w:val="24"/>
        </w:rPr>
        <w:t xml:space="preserve"> in this context and more generally</w:t>
      </w:r>
      <w:r w:rsidR="00670FFF">
        <w:rPr>
          <w:sz w:val="24"/>
          <w:szCs w:val="24"/>
        </w:rPr>
        <w:t xml:space="preserve">. </w:t>
      </w:r>
    </w:p>
    <w:p w14:paraId="3B7031E9" w14:textId="1BB8C0C0" w:rsidR="007211D6" w:rsidRDefault="00670FFF" w:rsidP="00CB0DD7">
      <w:pPr>
        <w:pStyle w:val="ListParagraph"/>
        <w:numPr>
          <w:ilvl w:val="0"/>
          <w:numId w:val="1"/>
        </w:numPr>
        <w:spacing w:before="240" w:after="240" w:line="360" w:lineRule="auto"/>
        <w:ind w:left="357" w:hanging="357"/>
        <w:contextualSpacing w:val="0"/>
        <w:rPr>
          <w:sz w:val="24"/>
          <w:szCs w:val="24"/>
        </w:rPr>
      </w:pPr>
      <w:r>
        <w:rPr>
          <w:sz w:val="24"/>
          <w:szCs w:val="24"/>
        </w:rPr>
        <w:t xml:space="preserve">Further, the </w:t>
      </w:r>
      <w:r w:rsidR="008D398A">
        <w:rPr>
          <w:sz w:val="24"/>
          <w:szCs w:val="24"/>
        </w:rPr>
        <w:t xml:space="preserve">issues </w:t>
      </w:r>
      <w:r w:rsidR="008C09EB">
        <w:rPr>
          <w:sz w:val="24"/>
          <w:szCs w:val="24"/>
        </w:rPr>
        <w:t xml:space="preserve">raised </w:t>
      </w:r>
      <w:r>
        <w:rPr>
          <w:sz w:val="24"/>
          <w:szCs w:val="24"/>
        </w:rPr>
        <w:t xml:space="preserve">are of wider </w:t>
      </w:r>
      <w:r w:rsidR="00761DD5" w:rsidRPr="007211D6">
        <w:rPr>
          <w:sz w:val="24"/>
          <w:szCs w:val="24"/>
        </w:rPr>
        <w:t xml:space="preserve">importance in the post-2013 Act era. </w:t>
      </w:r>
      <w:r w:rsidR="008D398A">
        <w:rPr>
          <w:sz w:val="24"/>
          <w:szCs w:val="24"/>
        </w:rPr>
        <w:t xml:space="preserve"> </w:t>
      </w:r>
      <w:r w:rsidR="007211D6" w:rsidRPr="007211D6">
        <w:rPr>
          <w:sz w:val="24"/>
          <w:szCs w:val="24"/>
        </w:rPr>
        <w:t xml:space="preserve">In </w:t>
      </w:r>
      <w:r>
        <w:rPr>
          <w:sz w:val="24"/>
          <w:szCs w:val="24"/>
        </w:rPr>
        <w:t>any case where the relevant primary facts are not in dispute</w:t>
      </w:r>
      <w:r w:rsidR="007211D6" w:rsidRPr="007211D6">
        <w:rPr>
          <w:sz w:val="24"/>
          <w:szCs w:val="24"/>
        </w:rPr>
        <w:t xml:space="preserve">, </w:t>
      </w:r>
      <w:r w:rsidR="005F6086">
        <w:rPr>
          <w:sz w:val="24"/>
          <w:szCs w:val="24"/>
        </w:rPr>
        <w:t xml:space="preserve">all aspects of </w:t>
      </w:r>
      <w:r w:rsidR="007211D6" w:rsidRPr="007211D6">
        <w:rPr>
          <w:sz w:val="24"/>
          <w:szCs w:val="24"/>
        </w:rPr>
        <w:t>s.2 and s.3 are amenable to early determination at the same hearing.  If the court finds for the defendant on s.3</w:t>
      </w:r>
      <w:r w:rsidR="000C0D13">
        <w:rPr>
          <w:sz w:val="24"/>
          <w:szCs w:val="24"/>
        </w:rPr>
        <w:t>(2)-</w:t>
      </w:r>
      <w:r w:rsidR="003A3ED2">
        <w:rPr>
          <w:sz w:val="24"/>
          <w:szCs w:val="24"/>
        </w:rPr>
        <w:t>(4)</w:t>
      </w:r>
      <w:r w:rsidR="007211D6" w:rsidRPr="007211D6">
        <w:rPr>
          <w:sz w:val="24"/>
          <w:szCs w:val="24"/>
        </w:rPr>
        <w:t xml:space="preserve"> but not s.2, </w:t>
      </w:r>
      <w:r w:rsidR="00745020">
        <w:rPr>
          <w:sz w:val="24"/>
          <w:szCs w:val="24"/>
        </w:rPr>
        <w:t xml:space="preserve">it </w:t>
      </w:r>
      <w:r w:rsidR="007211D6" w:rsidRPr="007211D6">
        <w:rPr>
          <w:sz w:val="24"/>
          <w:szCs w:val="24"/>
        </w:rPr>
        <w:t xml:space="preserve">needs </w:t>
      </w:r>
      <w:r w:rsidR="00745020">
        <w:rPr>
          <w:sz w:val="24"/>
          <w:szCs w:val="24"/>
        </w:rPr>
        <w:t xml:space="preserve">to </w:t>
      </w:r>
      <w:r w:rsidR="00F23150">
        <w:rPr>
          <w:sz w:val="24"/>
          <w:szCs w:val="24"/>
        </w:rPr>
        <w:t xml:space="preserve">exercise </w:t>
      </w:r>
      <w:r w:rsidR="007211D6">
        <w:rPr>
          <w:sz w:val="24"/>
          <w:szCs w:val="24"/>
        </w:rPr>
        <w:t xml:space="preserve">extreme caution before </w:t>
      </w:r>
      <w:r w:rsidR="00F23150">
        <w:rPr>
          <w:sz w:val="24"/>
          <w:szCs w:val="24"/>
        </w:rPr>
        <w:t xml:space="preserve">relying on </w:t>
      </w:r>
      <w:r w:rsidR="00745020">
        <w:rPr>
          <w:sz w:val="24"/>
          <w:szCs w:val="24"/>
        </w:rPr>
        <w:t xml:space="preserve">the s.2 </w:t>
      </w:r>
      <w:r w:rsidR="007211D6">
        <w:rPr>
          <w:sz w:val="24"/>
          <w:szCs w:val="24"/>
        </w:rPr>
        <w:t xml:space="preserve">reasoning </w:t>
      </w:r>
      <w:r w:rsidR="00745020">
        <w:rPr>
          <w:sz w:val="24"/>
          <w:szCs w:val="24"/>
        </w:rPr>
        <w:t xml:space="preserve">to enable a </w:t>
      </w:r>
      <w:r w:rsidR="007211D6">
        <w:rPr>
          <w:sz w:val="24"/>
          <w:szCs w:val="24"/>
        </w:rPr>
        <w:t>s.3(5)</w:t>
      </w:r>
      <w:r w:rsidR="00745020">
        <w:rPr>
          <w:sz w:val="24"/>
          <w:szCs w:val="24"/>
        </w:rPr>
        <w:t xml:space="preserve"> case to be advanced. The consequence </w:t>
      </w:r>
      <w:r w:rsidR="003A3ED2">
        <w:rPr>
          <w:sz w:val="24"/>
          <w:szCs w:val="24"/>
        </w:rPr>
        <w:t xml:space="preserve">of doing so is that a </w:t>
      </w:r>
      <w:r w:rsidR="00745020" w:rsidRPr="007211D6">
        <w:rPr>
          <w:sz w:val="24"/>
          <w:szCs w:val="24"/>
        </w:rPr>
        <w:t xml:space="preserve">defendant who </w:t>
      </w:r>
      <w:r w:rsidR="003A3ED2">
        <w:rPr>
          <w:sz w:val="24"/>
          <w:szCs w:val="24"/>
        </w:rPr>
        <w:t xml:space="preserve">has </w:t>
      </w:r>
      <w:r w:rsidR="00745020" w:rsidRPr="007211D6">
        <w:rPr>
          <w:sz w:val="24"/>
          <w:szCs w:val="24"/>
        </w:rPr>
        <w:t xml:space="preserve">expressed </w:t>
      </w:r>
      <w:r w:rsidR="003A3ED2">
        <w:rPr>
          <w:sz w:val="24"/>
          <w:szCs w:val="24"/>
        </w:rPr>
        <w:t xml:space="preserve">an </w:t>
      </w:r>
      <w:r w:rsidR="00745020" w:rsidRPr="007211D6">
        <w:rPr>
          <w:sz w:val="24"/>
          <w:szCs w:val="24"/>
        </w:rPr>
        <w:t xml:space="preserve">objectively honest opinion will be kept in </w:t>
      </w:r>
      <w:r w:rsidR="003A3ED2">
        <w:rPr>
          <w:sz w:val="24"/>
          <w:szCs w:val="24"/>
        </w:rPr>
        <w:t xml:space="preserve">an </w:t>
      </w:r>
      <w:r w:rsidR="00745020" w:rsidRPr="007211D6">
        <w:rPr>
          <w:sz w:val="24"/>
          <w:szCs w:val="24"/>
        </w:rPr>
        <w:t xml:space="preserve">expensive and stressful claim </w:t>
      </w:r>
      <w:r w:rsidR="003A3ED2">
        <w:rPr>
          <w:sz w:val="24"/>
          <w:szCs w:val="24"/>
        </w:rPr>
        <w:t xml:space="preserve">and subjected to cross-examination on the basis of </w:t>
      </w:r>
      <w:r w:rsidR="00745020" w:rsidRPr="007211D6">
        <w:rPr>
          <w:sz w:val="24"/>
          <w:szCs w:val="24"/>
        </w:rPr>
        <w:t>dishonest</w:t>
      </w:r>
      <w:r w:rsidR="003A3ED2">
        <w:rPr>
          <w:sz w:val="24"/>
          <w:szCs w:val="24"/>
        </w:rPr>
        <w:t xml:space="preserve">y at (a possibly widely reported) trial.  </w:t>
      </w:r>
    </w:p>
    <w:p w14:paraId="28DC6B16" w14:textId="6BC21263" w:rsidR="00677FC9" w:rsidRDefault="006E1779" w:rsidP="00CB0DD7">
      <w:pPr>
        <w:pStyle w:val="ListParagraph"/>
        <w:numPr>
          <w:ilvl w:val="0"/>
          <w:numId w:val="1"/>
        </w:numPr>
        <w:spacing w:before="240" w:after="240" w:line="360" w:lineRule="auto"/>
        <w:ind w:left="357" w:hanging="357"/>
        <w:contextualSpacing w:val="0"/>
        <w:rPr>
          <w:sz w:val="24"/>
          <w:szCs w:val="24"/>
        </w:rPr>
      </w:pPr>
      <w:r>
        <w:rPr>
          <w:sz w:val="24"/>
          <w:szCs w:val="24"/>
        </w:rPr>
        <w:t>As the Judge appear</w:t>
      </w:r>
      <w:r w:rsidR="00910DDA">
        <w:rPr>
          <w:sz w:val="24"/>
          <w:szCs w:val="24"/>
        </w:rPr>
        <w:t>s</w:t>
      </w:r>
      <w:r>
        <w:rPr>
          <w:sz w:val="24"/>
          <w:szCs w:val="24"/>
        </w:rPr>
        <w:t xml:space="preserve"> to accept</w:t>
      </w:r>
      <w:r w:rsidR="00910DDA">
        <w:rPr>
          <w:sz w:val="24"/>
          <w:szCs w:val="24"/>
        </w:rPr>
        <w:t xml:space="preserve"> in </w:t>
      </w:r>
      <w:r w:rsidR="00AA42AB">
        <w:rPr>
          <w:sz w:val="24"/>
          <w:szCs w:val="24"/>
        </w:rPr>
        <w:t xml:space="preserve">the </w:t>
      </w:r>
      <w:r w:rsidR="00910DDA">
        <w:rPr>
          <w:sz w:val="24"/>
          <w:szCs w:val="24"/>
        </w:rPr>
        <w:t>reasons for refusing permission to appeal</w:t>
      </w:r>
      <w:r>
        <w:rPr>
          <w:sz w:val="24"/>
          <w:szCs w:val="24"/>
        </w:rPr>
        <w:t>,</w:t>
      </w:r>
      <w:r w:rsidR="007F2EFB">
        <w:rPr>
          <w:rStyle w:val="FootnoteReference"/>
          <w:sz w:val="24"/>
          <w:szCs w:val="24"/>
        </w:rPr>
        <w:footnoteReference w:id="3"/>
      </w:r>
      <w:r>
        <w:rPr>
          <w:sz w:val="24"/>
          <w:szCs w:val="24"/>
        </w:rPr>
        <w:t xml:space="preserve"> the practical consequence of </w:t>
      </w:r>
      <w:r w:rsidR="00910DDA">
        <w:rPr>
          <w:sz w:val="24"/>
          <w:szCs w:val="24"/>
        </w:rPr>
        <w:t xml:space="preserve">his </w:t>
      </w:r>
      <w:r w:rsidR="00D93A04">
        <w:rPr>
          <w:sz w:val="24"/>
          <w:szCs w:val="24"/>
        </w:rPr>
        <w:t xml:space="preserve">approach </w:t>
      </w:r>
      <w:r w:rsidR="00910DDA">
        <w:rPr>
          <w:sz w:val="24"/>
          <w:szCs w:val="24"/>
        </w:rPr>
        <w:t xml:space="preserve">is </w:t>
      </w:r>
      <w:r>
        <w:rPr>
          <w:sz w:val="24"/>
          <w:szCs w:val="24"/>
        </w:rPr>
        <w:t xml:space="preserve">that </w:t>
      </w:r>
      <w:r w:rsidR="00910DDA">
        <w:rPr>
          <w:sz w:val="24"/>
          <w:szCs w:val="24"/>
        </w:rPr>
        <w:t>if a</w:t>
      </w:r>
      <w:r>
        <w:rPr>
          <w:sz w:val="24"/>
          <w:szCs w:val="24"/>
        </w:rPr>
        <w:t xml:space="preserve"> defendant does not succeed on s.2, the s.3(5) case will inevitably have to proceed to trial. </w:t>
      </w:r>
      <w:r w:rsidR="00680378">
        <w:rPr>
          <w:sz w:val="24"/>
          <w:szCs w:val="24"/>
        </w:rPr>
        <w:t>More generally</w:t>
      </w:r>
      <w:r w:rsidR="0059202B">
        <w:rPr>
          <w:sz w:val="24"/>
          <w:szCs w:val="24"/>
        </w:rPr>
        <w:t>,</w:t>
      </w:r>
      <w:r w:rsidR="00680378">
        <w:rPr>
          <w:sz w:val="24"/>
          <w:szCs w:val="24"/>
        </w:rPr>
        <w:t xml:space="preserve"> on this approach, any s.3(5) case (or other case of dishonesty) could proceed to trial on </w:t>
      </w:r>
      <w:r w:rsidR="008C09EB">
        <w:rPr>
          <w:sz w:val="24"/>
          <w:szCs w:val="24"/>
        </w:rPr>
        <w:t xml:space="preserve">the basis of </w:t>
      </w:r>
      <w:r w:rsidR="00680378">
        <w:rPr>
          <w:sz w:val="24"/>
          <w:szCs w:val="24"/>
        </w:rPr>
        <w:t>a</w:t>
      </w:r>
      <w:r w:rsidR="004B4759">
        <w:rPr>
          <w:sz w:val="24"/>
          <w:szCs w:val="24"/>
        </w:rPr>
        <w:t xml:space="preserve"> properly arguable </w:t>
      </w:r>
      <w:r w:rsidR="00680378">
        <w:rPr>
          <w:sz w:val="24"/>
          <w:szCs w:val="24"/>
        </w:rPr>
        <w:t>averment that the defendant ought to have realised that his statement was false</w:t>
      </w:r>
      <w:r w:rsidR="004B4759">
        <w:rPr>
          <w:sz w:val="24"/>
          <w:szCs w:val="24"/>
        </w:rPr>
        <w:t xml:space="preserve">. </w:t>
      </w:r>
      <w:r w:rsidR="00AA42AB">
        <w:rPr>
          <w:sz w:val="24"/>
          <w:szCs w:val="24"/>
        </w:rPr>
        <w:t>S</w:t>
      </w:r>
      <w:r w:rsidR="004B4759">
        <w:rPr>
          <w:sz w:val="24"/>
          <w:szCs w:val="24"/>
        </w:rPr>
        <w:t xml:space="preserve">uch </w:t>
      </w:r>
      <w:r w:rsidR="00AA42AB">
        <w:rPr>
          <w:sz w:val="24"/>
          <w:szCs w:val="24"/>
        </w:rPr>
        <w:t xml:space="preserve">an </w:t>
      </w:r>
      <w:r w:rsidR="004B4759">
        <w:rPr>
          <w:sz w:val="24"/>
          <w:szCs w:val="24"/>
        </w:rPr>
        <w:t>averment is “</w:t>
      </w:r>
      <w:r w:rsidR="004B4759" w:rsidRPr="000164BA">
        <w:rPr>
          <w:i/>
          <w:iCs/>
          <w:sz w:val="24"/>
          <w:szCs w:val="24"/>
        </w:rPr>
        <w:t>capable of casting doubt</w:t>
      </w:r>
      <w:r w:rsidR="004B4759">
        <w:rPr>
          <w:sz w:val="24"/>
          <w:szCs w:val="24"/>
        </w:rPr>
        <w:t xml:space="preserve">” on whether </w:t>
      </w:r>
      <w:r w:rsidR="00782384">
        <w:rPr>
          <w:sz w:val="24"/>
          <w:szCs w:val="24"/>
        </w:rPr>
        <w:t xml:space="preserve">a </w:t>
      </w:r>
      <w:r w:rsidR="004B4759">
        <w:rPr>
          <w:sz w:val="24"/>
          <w:szCs w:val="24"/>
        </w:rPr>
        <w:t>defendant believed the statement</w:t>
      </w:r>
      <w:r w:rsidR="00680378">
        <w:rPr>
          <w:sz w:val="24"/>
          <w:szCs w:val="24"/>
        </w:rPr>
        <w:t xml:space="preserve">. </w:t>
      </w:r>
    </w:p>
    <w:p w14:paraId="78526154" w14:textId="0A24F7FC" w:rsidR="00BF23B7" w:rsidRDefault="00A6205D" w:rsidP="00CB0DD7">
      <w:pPr>
        <w:pStyle w:val="ListParagraph"/>
        <w:numPr>
          <w:ilvl w:val="0"/>
          <w:numId w:val="1"/>
        </w:numPr>
        <w:spacing w:before="240" w:after="240" w:line="360" w:lineRule="auto"/>
        <w:ind w:left="357" w:hanging="357"/>
        <w:contextualSpacing w:val="0"/>
        <w:rPr>
          <w:sz w:val="24"/>
          <w:szCs w:val="24"/>
        </w:rPr>
      </w:pPr>
      <w:r w:rsidRPr="00B01395">
        <w:rPr>
          <w:sz w:val="24"/>
          <w:szCs w:val="24"/>
        </w:rPr>
        <w:t xml:space="preserve">There is </w:t>
      </w:r>
      <w:r w:rsidR="008D398A">
        <w:rPr>
          <w:sz w:val="24"/>
          <w:szCs w:val="24"/>
        </w:rPr>
        <w:t xml:space="preserve">a </w:t>
      </w:r>
      <w:r w:rsidR="00E33E2B">
        <w:rPr>
          <w:sz w:val="24"/>
          <w:szCs w:val="24"/>
        </w:rPr>
        <w:t xml:space="preserve">more direct </w:t>
      </w:r>
      <w:r w:rsidRPr="00B01395">
        <w:rPr>
          <w:sz w:val="24"/>
          <w:szCs w:val="24"/>
        </w:rPr>
        <w:t xml:space="preserve">route </w:t>
      </w:r>
      <w:r w:rsidR="00D14BFD" w:rsidRPr="00B01395">
        <w:rPr>
          <w:sz w:val="24"/>
          <w:szCs w:val="24"/>
        </w:rPr>
        <w:t xml:space="preserve">to </w:t>
      </w:r>
      <w:r w:rsidR="00AA42AB">
        <w:rPr>
          <w:sz w:val="24"/>
          <w:szCs w:val="24"/>
        </w:rPr>
        <w:t xml:space="preserve">ending the </w:t>
      </w:r>
      <w:r w:rsidRPr="00B01395">
        <w:rPr>
          <w:sz w:val="24"/>
          <w:szCs w:val="24"/>
        </w:rPr>
        <w:t xml:space="preserve">claim </w:t>
      </w:r>
      <w:r w:rsidR="00BE0529" w:rsidRPr="00B01395">
        <w:rPr>
          <w:sz w:val="24"/>
          <w:szCs w:val="24"/>
        </w:rPr>
        <w:t xml:space="preserve">which </w:t>
      </w:r>
      <w:r w:rsidR="00626C44" w:rsidRPr="00B01395">
        <w:rPr>
          <w:sz w:val="24"/>
          <w:szCs w:val="24"/>
        </w:rPr>
        <w:t>does not involve any consideration of s.3(5)</w:t>
      </w:r>
      <w:r w:rsidRPr="00B01395">
        <w:rPr>
          <w:sz w:val="24"/>
          <w:szCs w:val="24"/>
        </w:rPr>
        <w:t xml:space="preserve">.  </w:t>
      </w:r>
      <w:r w:rsidR="00745020">
        <w:rPr>
          <w:sz w:val="24"/>
          <w:szCs w:val="24"/>
        </w:rPr>
        <w:t xml:space="preserve">The Opinion </w:t>
      </w:r>
      <w:r w:rsidR="00626C44" w:rsidRPr="00B01395">
        <w:rPr>
          <w:sz w:val="24"/>
          <w:szCs w:val="24"/>
        </w:rPr>
        <w:t xml:space="preserve">is </w:t>
      </w:r>
      <w:r w:rsidRPr="00B01395">
        <w:rPr>
          <w:sz w:val="24"/>
          <w:szCs w:val="24"/>
        </w:rPr>
        <w:t xml:space="preserve">a </w:t>
      </w:r>
      <w:r w:rsidR="000073A7">
        <w:rPr>
          <w:sz w:val="24"/>
          <w:szCs w:val="24"/>
        </w:rPr>
        <w:t xml:space="preserve">non-perverse </w:t>
      </w:r>
      <w:r w:rsidRPr="00B01395">
        <w:rPr>
          <w:sz w:val="24"/>
          <w:szCs w:val="24"/>
        </w:rPr>
        <w:t xml:space="preserve">interpretation of the Answer </w:t>
      </w:r>
      <w:r w:rsidR="000073A7">
        <w:rPr>
          <w:sz w:val="24"/>
          <w:szCs w:val="24"/>
        </w:rPr>
        <w:t xml:space="preserve">in </w:t>
      </w:r>
      <w:r w:rsidRPr="00B01395">
        <w:rPr>
          <w:sz w:val="24"/>
          <w:szCs w:val="24"/>
        </w:rPr>
        <w:t xml:space="preserve">the context of the Interview. </w:t>
      </w:r>
      <w:r w:rsidR="00626C44" w:rsidRPr="00B01395">
        <w:rPr>
          <w:sz w:val="24"/>
          <w:szCs w:val="24"/>
        </w:rPr>
        <w:t xml:space="preserve">D ought </w:t>
      </w:r>
      <w:r w:rsidR="00B22B84">
        <w:rPr>
          <w:sz w:val="24"/>
          <w:szCs w:val="24"/>
        </w:rPr>
        <w:t xml:space="preserve">therefore </w:t>
      </w:r>
      <w:r w:rsidR="00680378">
        <w:rPr>
          <w:sz w:val="24"/>
          <w:szCs w:val="24"/>
        </w:rPr>
        <w:t xml:space="preserve">also </w:t>
      </w:r>
      <w:r w:rsidR="00626C44" w:rsidRPr="00B01395">
        <w:rPr>
          <w:sz w:val="24"/>
          <w:szCs w:val="24"/>
        </w:rPr>
        <w:t>to have succeeded on s.2</w:t>
      </w:r>
      <w:r w:rsidR="00AA42AB">
        <w:rPr>
          <w:sz w:val="24"/>
          <w:szCs w:val="24"/>
        </w:rPr>
        <w:t>,</w:t>
      </w:r>
      <w:r w:rsidR="00E33E2B">
        <w:rPr>
          <w:sz w:val="24"/>
          <w:szCs w:val="24"/>
        </w:rPr>
        <w:t xml:space="preserve"> following the Judge’s Chase level 2 meaning determination</w:t>
      </w:r>
      <w:r w:rsidR="00626C44" w:rsidRPr="00B01395">
        <w:rPr>
          <w:sz w:val="24"/>
          <w:szCs w:val="24"/>
        </w:rPr>
        <w:t xml:space="preserve">. </w:t>
      </w:r>
      <w:r w:rsidR="00CA1D37">
        <w:rPr>
          <w:sz w:val="24"/>
          <w:szCs w:val="24"/>
        </w:rPr>
        <w:t>T</w:t>
      </w:r>
      <w:r w:rsidR="003A3ED2">
        <w:rPr>
          <w:sz w:val="24"/>
          <w:szCs w:val="24"/>
        </w:rPr>
        <w:t>he t</w:t>
      </w:r>
      <w:r w:rsidR="00626C44" w:rsidRPr="00B01395">
        <w:rPr>
          <w:sz w:val="24"/>
          <w:szCs w:val="24"/>
        </w:rPr>
        <w:t xml:space="preserve">wo other parts of the Interview relied on by C </w:t>
      </w:r>
      <w:r w:rsidR="00CA1D37">
        <w:rPr>
          <w:sz w:val="24"/>
          <w:szCs w:val="24"/>
        </w:rPr>
        <w:t xml:space="preserve">as knockout blows </w:t>
      </w:r>
      <w:r w:rsidR="00DE3D8D">
        <w:rPr>
          <w:sz w:val="24"/>
          <w:szCs w:val="24"/>
        </w:rPr>
        <w:t xml:space="preserve">- C’s initial </w:t>
      </w:r>
      <w:r w:rsidR="00AF138A">
        <w:rPr>
          <w:sz w:val="24"/>
          <w:szCs w:val="24"/>
        </w:rPr>
        <w:t xml:space="preserve">hesitant </w:t>
      </w:r>
      <w:r w:rsidR="00DE3D8D">
        <w:rPr>
          <w:sz w:val="24"/>
          <w:szCs w:val="24"/>
        </w:rPr>
        <w:t xml:space="preserve">agreement with Labour’s position and his final statement that he did </w:t>
      </w:r>
      <w:r w:rsidR="003A3ED2">
        <w:rPr>
          <w:sz w:val="24"/>
          <w:szCs w:val="24"/>
        </w:rPr>
        <w:t xml:space="preserve">not </w:t>
      </w:r>
      <w:r w:rsidR="00DE3D8D">
        <w:rPr>
          <w:sz w:val="24"/>
          <w:szCs w:val="24"/>
        </w:rPr>
        <w:t xml:space="preserve">support the Hamas Attack - </w:t>
      </w:r>
      <w:r w:rsidR="00626C44" w:rsidRPr="00B01395">
        <w:rPr>
          <w:sz w:val="24"/>
          <w:szCs w:val="24"/>
        </w:rPr>
        <w:t xml:space="preserve">do not come close to negativing </w:t>
      </w:r>
      <w:r w:rsidR="006D395D" w:rsidRPr="00B01395">
        <w:rPr>
          <w:sz w:val="24"/>
          <w:szCs w:val="24"/>
        </w:rPr>
        <w:t>the reasonable interpretation of the Answer</w:t>
      </w:r>
      <w:r w:rsidR="00626C44" w:rsidRPr="00B01395">
        <w:rPr>
          <w:sz w:val="24"/>
          <w:szCs w:val="24"/>
        </w:rPr>
        <w:t xml:space="preserve">. </w:t>
      </w:r>
    </w:p>
    <w:p w14:paraId="3AEDE845" w14:textId="2A8FCAFC" w:rsidR="0059202B" w:rsidRPr="0059202B" w:rsidRDefault="00626C44" w:rsidP="006203FB">
      <w:pPr>
        <w:pStyle w:val="ListParagraph"/>
        <w:numPr>
          <w:ilvl w:val="0"/>
          <w:numId w:val="1"/>
        </w:numPr>
        <w:spacing w:before="240" w:after="240" w:line="360" w:lineRule="auto"/>
        <w:ind w:left="357" w:hanging="357"/>
        <w:contextualSpacing w:val="0"/>
        <w:rPr>
          <w:sz w:val="24"/>
          <w:szCs w:val="24"/>
        </w:rPr>
      </w:pPr>
      <w:r w:rsidRPr="0059202B">
        <w:rPr>
          <w:sz w:val="24"/>
          <w:szCs w:val="24"/>
        </w:rPr>
        <w:t xml:space="preserve">The Court of Appeal is in as good a position as the </w:t>
      </w:r>
      <w:r w:rsidR="00C42DC5" w:rsidRPr="0059202B">
        <w:rPr>
          <w:sz w:val="24"/>
          <w:szCs w:val="24"/>
        </w:rPr>
        <w:t xml:space="preserve">Judge to determine </w:t>
      </w:r>
      <w:r w:rsidR="008C09EB">
        <w:rPr>
          <w:sz w:val="24"/>
          <w:szCs w:val="24"/>
        </w:rPr>
        <w:t xml:space="preserve">whether the Opinion falls within the range of </w:t>
      </w:r>
      <w:r w:rsidR="00663D2E" w:rsidRPr="0059202B">
        <w:rPr>
          <w:sz w:val="24"/>
          <w:szCs w:val="24"/>
        </w:rPr>
        <w:t xml:space="preserve">reasonable </w:t>
      </w:r>
      <w:r w:rsidR="00C42DC5" w:rsidRPr="0059202B">
        <w:rPr>
          <w:sz w:val="24"/>
          <w:szCs w:val="24"/>
        </w:rPr>
        <w:t xml:space="preserve">interpretations of the Interview. </w:t>
      </w:r>
      <w:r w:rsidR="008C09EB">
        <w:rPr>
          <w:sz w:val="24"/>
          <w:szCs w:val="24"/>
        </w:rPr>
        <w:t xml:space="preserve">If the Court considers that it does, it should uphold the s.2 defence and bring the claim swiftly to an end.  Insofar as the Court’s power to do so is restricted by the </w:t>
      </w:r>
      <w:r w:rsidR="008C09EB">
        <w:rPr>
          <w:sz w:val="24"/>
          <w:szCs w:val="24"/>
        </w:rPr>
        <w:lastRenderedPageBreak/>
        <w:t xml:space="preserve">need to show an error of principle or </w:t>
      </w:r>
      <w:r w:rsidR="008C09EB" w:rsidRPr="0059202B">
        <w:rPr>
          <w:sz w:val="24"/>
          <w:szCs w:val="24"/>
        </w:rPr>
        <w:t>identifiabl</w:t>
      </w:r>
      <w:r w:rsidR="00B87B70">
        <w:rPr>
          <w:sz w:val="24"/>
          <w:szCs w:val="24"/>
        </w:rPr>
        <w:t>e</w:t>
      </w:r>
      <w:r w:rsidR="008C09EB" w:rsidRPr="0059202B">
        <w:rPr>
          <w:sz w:val="24"/>
          <w:szCs w:val="24"/>
        </w:rPr>
        <w:t xml:space="preserve"> flaw</w:t>
      </w:r>
      <w:r w:rsidR="00B87B70">
        <w:rPr>
          <w:sz w:val="24"/>
          <w:szCs w:val="24"/>
        </w:rPr>
        <w:t xml:space="preserve"> in </w:t>
      </w:r>
      <w:r w:rsidR="008C09EB" w:rsidRPr="0059202B">
        <w:rPr>
          <w:sz w:val="24"/>
          <w:szCs w:val="24"/>
        </w:rPr>
        <w:t>reasoning</w:t>
      </w:r>
      <w:r w:rsidR="008C09EB">
        <w:rPr>
          <w:sz w:val="24"/>
          <w:szCs w:val="24"/>
        </w:rPr>
        <w:t>,</w:t>
      </w:r>
      <w:r w:rsidR="008C09EB">
        <w:rPr>
          <w:rStyle w:val="FootnoteReference"/>
          <w:sz w:val="24"/>
          <w:szCs w:val="24"/>
        </w:rPr>
        <w:footnoteReference w:id="4"/>
      </w:r>
      <w:r w:rsidR="008C09EB" w:rsidRPr="0059202B">
        <w:rPr>
          <w:sz w:val="24"/>
          <w:szCs w:val="24"/>
        </w:rPr>
        <w:t xml:space="preserve"> </w:t>
      </w:r>
      <w:r w:rsidR="006B3523" w:rsidRPr="0059202B">
        <w:rPr>
          <w:sz w:val="24"/>
          <w:szCs w:val="24"/>
        </w:rPr>
        <w:t>GOA</w:t>
      </w:r>
      <w:r w:rsidR="00B657A7" w:rsidRPr="0059202B">
        <w:rPr>
          <w:sz w:val="24"/>
          <w:szCs w:val="24"/>
        </w:rPr>
        <w:t xml:space="preserve"> [2] &amp; [4]</w:t>
      </w:r>
      <w:r w:rsidR="008C09EB">
        <w:rPr>
          <w:sz w:val="24"/>
          <w:szCs w:val="24"/>
        </w:rPr>
        <w:t xml:space="preserve"> demonstrate, at least, a real prospect of either or both being established</w:t>
      </w:r>
      <w:r w:rsidR="006B3523" w:rsidRPr="0059202B">
        <w:rPr>
          <w:sz w:val="24"/>
          <w:szCs w:val="24"/>
        </w:rPr>
        <w:t xml:space="preserve">. </w:t>
      </w:r>
      <w:r w:rsidR="00DD2F0D" w:rsidRPr="0059202B">
        <w:rPr>
          <w:sz w:val="24"/>
          <w:szCs w:val="24"/>
        </w:rPr>
        <w:t xml:space="preserve"> </w:t>
      </w:r>
      <w:r w:rsidR="002D08E2" w:rsidRPr="0059202B">
        <w:rPr>
          <w:sz w:val="24"/>
          <w:szCs w:val="24"/>
        </w:rPr>
        <w:t xml:space="preserve"> </w:t>
      </w:r>
      <w:r w:rsidR="0059202B" w:rsidRPr="0059202B">
        <w:rPr>
          <w:sz w:val="24"/>
          <w:szCs w:val="24"/>
        </w:rPr>
        <w:t xml:space="preserve">Further, if </w:t>
      </w:r>
      <w:r w:rsidR="002D08E2" w:rsidRPr="0059202B">
        <w:rPr>
          <w:sz w:val="24"/>
          <w:szCs w:val="24"/>
        </w:rPr>
        <w:t>permission to appeal is granted in relation to s.3(5)</w:t>
      </w:r>
      <w:r w:rsidR="007F09F8">
        <w:rPr>
          <w:sz w:val="24"/>
          <w:szCs w:val="24"/>
        </w:rPr>
        <w:t xml:space="preserve"> or C’s proposed appeal on s.3(4)</w:t>
      </w:r>
      <w:r w:rsidR="002D08E2" w:rsidRPr="0059202B">
        <w:rPr>
          <w:sz w:val="24"/>
          <w:szCs w:val="24"/>
        </w:rPr>
        <w:t xml:space="preserve">, the appeal will </w:t>
      </w:r>
      <w:r w:rsidR="0059202B" w:rsidRPr="0059202B">
        <w:rPr>
          <w:sz w:val="24"/>
          <w:szCs w:val="24"/>
        </w:rPr>
        <w:t xml:space="preserve">involve consideration of the Judge’s </w:t>
      </w:r>
      <w:r w:rsidR="002D08E2" w:rsidRPr="0059202B">
        <w:rPr>
          <w:sz w:val="24"/>
          <w:szCs w:val="24"/>
        </w:rPr>
        <w:t>interpretation of the Interview</w:t>
      </w:r>
      <w:r w:rsidR="0059202B">
        <w:rPr>
          <w:sz w:val="24"/>
          <w:szCs w:val="24"/>
        </w:rPr>
        <w:t xml:space="preserve"> in any event</w:t>
      </w:r>
      <w:r w:rsidR="002D08E2" w:rsidRPr="0059202B">
        <w:rPr>
          <w:sz w:val="24"/>
          <w:szCs w:val="24"/>
        </w:rPr>
        <w:t xml:space="preserve">.  </w:t>
      </w:r>
    </w:p>
    <w:p w14:paraId="5F4C6F57" w14:textId="1CD24443" w:rsidR="0059202B" w:rsidRDefault="0059202B" w:rsidP="0059202B">
      <w:pPr>
        <w:pStyle w:val="ListParagraph"/>
        <w:numPr>
          <w:ilvl w:val="0"/>
          <w:numId w:val="1"/>
        </w:numPr>
        <w:spacing w:before="240" w:after="240" w:line="360" w:lineRule="auto"/>
        <w:ind w:left="357" w:hanging="357"/>
        <w:contextualSpacing w:val="0"/>
        <w:rPr>
          <w:sz w:val="24"/>
          <w:szCs w:val="24"/>
        </w:rPr>
      </w:pPr>
      <w:r>
        <w:rPr>
          <w:sz w:val="24"/>
          <w:szCs w:val="24"/>
        </w:rPr>
        <w:t xml:space="preserve">It is not necessary to repeat D’s case on </w:t>
      </w:r>
      <w:r w:rsidR="007F09F8">
        <w:rPr>
          <w:sz w:val="24"/>
          <w:szCs w:val="24"/>
        </w:rPr>
        <w:t xml:space="preserve">reasonable </w:t>
      </w:r>
      <w:r>
        <w:rPr>
          <w:sz w:val="24"/>
          <w:szCs w:val="24"/>
        </w:rPr>
        <w:t xml:space="preserve">interpretation set out in the draft Defence and referred to in GOA[2]. </w:t>
      </w:r>
      <w:r w:rsidR="008C09EB">
        <w:rPr>
          <w:sz w:val="24"/>
          <w:szCs w:val="24"/>
        </w:rPr>
        <w:t>It speaks for itself.</w:t>
      </w:r>
    </w:p>
    <w:p w14:paraId="78FBA122" w14:textId="14E47EF3" w:rsidR="00053CEB" w:rsidRDefault="00053CEB" w:rsidP="00D14BFD">
      <w:pPr>
        <w:spacing w:before="240" w:after="240" w:line="360" w:lineRule="auto"/>
        <w:rPr>
          <w:b/>
          <w:bCs/>
          <w:sz w:val="24"/>
          <w:szCs w:val="24"/>
        </w:rPr>
      </w:pPr>
      <w:bookmarkStart w:id="2" w:name="_Hlk194496631"/>
      <w:bookmarkStart w:id="3" w:name="_Hlk195182617"/>
      <w:r>
        <w:rPr>
          <w:b/>
          <w:bCs/>
          <w:sz w:val="24"/>
          <w:szCs w:val="24"/>
        </w:rPr>
        <w:t xml:space="preserve">GOA[1] – </w:t>
      </w:r>
      <w:r w:rsidR="00B657A7">
        <w:rPr>
          <w:b/>
          <w:bCs/>
          <w:sz w:val="24"/>
          <w:szCs w:val="24"/>
        </w:rPr>
        <w:t>s.3(5)</w:t>
      </w:r>
    </w:p>
    <w:p w14:paraId="635B104D" w14:textId="06E9FE63" w:rsidR="00D14BFD" w:rsidRPr="00CA1D37" w:rsidRDefault="00914E54" w:rsidP="00D14BFD">
      <w:pPr>
        <w:spacing w:before="240" w:after="240" w:line="360" w:lineRule="auto"/>
        <w:rPr>
          <w:sz w:val="24"/>
          <w:szCs w:val="24"/>
          <w:u w:val="single"/>
        </w:rPr>
      </w:pPr>
      <w:bookmarkStart w:id="4" w:name="_Hlk194665919"/>
      <w:r>
        <w:rPr>
          <w:sz w:val="24"/>
          <w:szCs w:val="24"/>
          <w:u w:val="single"/>
        </w:rPr>
        <w:t xml:space="preserve">Proof of dishonesty in the context of </w:t>
      </w:r>
      <w:r w:rsidR="00D14BFD" w:rsidRPr="00CA1D37">
        <w:rPr>
          <w:sz w:val="24"/>
          <w:szCs w:val="24"/>
          <w:u w:val="single"/>
        </w:rPr>
        <w:t>s.3(5)</w:t>
      </w:r>
      <w:bookmarkEnd w:id="4"/>
      <w:r w:rsidR="001B1030" w:rsidRPr="00CA1D37">
        <w:rPr>
          <w:sz w:val="24"/>
          <w:szCs w:val="24"/>
          <w:u w:val="single"/>
        </w:rPr>
        <w:t xml:space="preserve"> </w:t>
      </w:r>
    </w:p>
    <w:bookmarkEnd w:id="2"/>
    <w:p w14:paraId="7B89EFF0" w14:textId="3DB692B7" w:rsidR="001A1A57" w:rsidRDefault="001B1030" w:rsidP="00CB0DD7">
      <w:pPr>
        <w:pStyle w:val="ListParagraph"/>
        <w:numPr>
          <w:ilvl w:val="0"/>
          <w:numId w:val="1"/>
        </w:numPr>
        <w:spacing w:before="240" w:after="240" w:line="360" w:lineRule="auto"/>
        <w:ind w:left="357" w:hanging="357"/>
        <w:contextualSpacing w:val="0"/>
        <w:rPr>
          <w:sz w:val="24"/>
          <w:szCs w:val="24"/>
        </w:rPr>
      </w:pPr>
      <w:r w:rsidRPr="00991E4A">
        <w:rPr>
          <w:sz w:val="24"/>
          <w:szCs w:val="24"/>
        </w:rPr>
        <w:t xml:space="preserve">Proof of dishonesty may be an essential element of a tort or a means of disqualifying a defendant from relying on an otherwise available defence.  In both </w:t>
      </w:r>
      <w:r w:rsidR="00576CC1" w:rsidRPr="00991E4A">
        <w:rPr>
          <w:sz w:val="24"/>
          <w:szCs w:val="24"/>
        </w:rPr>
        <w:t xml:space="preserve">cases </w:t>
      </w:r>
      <w:r w:rsidRPr="00991E4A">
        <w:rPr>
          <w:sz w:val="24"/>
          <w:szCs w:val="24"/>
        </w:rPr>
        <w:t xml:space="preserve">the ability of a claimant to advance an allegation </w:t>
      </w:r>
      <w:r w:rsidR="00450441" w:rsidRPr="00991E4A">
        <w:rPr>
          <w:sz w:val="24"/>
          <w:szCs w:val="24"/>
        </w:rPr>
        <w:t xml:space="preserve">of dishonesty </w:t>
      </w:r>
      <w:r w:rsidRPr="00991E4A">
        <w:rPr>
          <w:sz w:val="24"/>
          <w:szCs w:val="24"/>
        </w:rPr>
        <w:t xml:space="preserve">is subject to </w:t>
      </w:r>
      <w:r w:rsidR="00991E4A" w:rsidRPr="00991E4A">
        <w:rPr>
          <w:sz w:val="24"/>
          <w:szCs w:val="24"/>
        </w:rPr>
        <w:t xml:space="preserve">a </w:t>
      </w:r>
      <w:r w:rsidRPr="00991E4A">
        <w:rPr>
          <w:sz w:val="24"/>
          <w:szCs w:val="24"/>
        </w:rPr>
        <w:t xml:space="preserve">restriction not generally applicable in civil litigation. </w:t>
      </w:r>
      <w:r w:rsidR="00991E4A" w:rsidRPr="00991E4A">
        <w:rPr>
          <w:sz w:val="24"/>
          <w:szCs w:val="24"/>
        </w:rPr>
        <w:t xml:space="preserve">A fact can only be relied on to support </w:t>
      </w:r>
      <w:r w:rsidR="006F15F5">
        <w:rPr>
          <w:sz w:val="24"/>
          <w:szCs w:val="24"/>
        </w:rPr>
        <w:t xml:space="preserve">an inference </w:t>
      </w:r>
      <w:r w:rsidR="00991E4A" w:rsidRPr="00991E4A">
        <w:rPr>
          <w:sz w:val="24"/>
          <w:szCs w:val="24"/>
        </w:rPr>
        <w:t>of dishonesty if it raises the probability of dishonesty</w:t>
      </w:r>
      <w:r w:rsidR="00C320F6">
        <w:rPr>
          <w:sz w:val="24"/>
          <w:szCs w:val="24"/>
        </w:rPr>
        <w:t xml:space="preserve"> (</w:t>
      </w:r>
      <w:r w:rsidR="00991E4A" w:rsidRPr="00991E4A">
        <w:rPr>
          <w:sz w:val="24"/>
          <w:szCs w:val="24"/>
        </w:rPr>
        <w:t>“</w:t>
      </w:r>
      <w:r w:rsidR="00C320F6">
        <w:rPr>
          <w:sz w:val="24"/>
          <w:szCs w:val="24"/>
        </w:rPr>
        <w:t xml:space="preserve">the </w:t>
      </w:r>
      <w:r w:rsidR="00991E4A" w:rsidRPr="00991E4A">
        <w:rPr>
          <w:sz w:val="24"/>
          <w:szCs w:val="24"/>
        </w:rPr>
        <w:t>probability test”</w:t>
      </w:r>
      <w:r w:rsidR="00C320F6">
        <w:rPr>
          <w:sz w:val="24"/>
          <w:szCs w:val="24"/>
        </w:rPr>
        <w:t>)</w:t>
      </w:r>
      <w:r w:rsidR="00A13B0C">
        <w:rPr>
          <w:sz w:val="24"/>
          <w:szCs w:val="24"/>
        </w:rPr>
        <w:t xml:space="preserve">. </w:t>
      </w:r>
      <w:r w:rsidR="007F79B2">
        <w:rPr>
          <w:sz w:val="24"/>
          <w:szCs w:val="24"/>
        </w:rPr>
        <w:t xml:space="preserve"> It has been applied in defamation cases since at least 1851. </w:t>
      </w:r>
      <w:r w:rsidR="00A13B0C">
        <w:rPr>
          <w:sz w:val="24"/>
          <w:szCs w:val="24"/>
        </w:rPr>
        <w:t xml:space="preserve">Its practical application is </w:t>
      </w:r>
      <w:r w:rsidR="00991E4A" w:rsidRPr="00991E4A">
        <w:rPr>
          <w:sz w:val="24"/>
          <w:szCs w:val="24"/>
        </w:rPr>
        <w:t xml:space="preserve">considered </w:t>
      </w:r>
      <w:r w:rsidR="00A13B0C">
        <w:rPr>
          <w:sz w:val="24"/>
          <w:szCs w:val="24"/>
        </w:rPr>
        <w:t xml:space="preserve">in </w:t>
      </w:r>
      <w:r w:rsidR="00620D1C">
        <w:rPr>
          <w:sz w:val="24"/>
          <w:szCs w:val="24"/>
        </w:rPr>
        <w:t>[24]</w:t>
      </w:r>
      <w:r w:rsidR="00A13B0C">
        <w:rPr>
          <w:sz w:val="24"/>
          <w:szCs w:val="24"/>
        </w:rPr>
        <w:t xml:space="preserve"> below.  It is more onerous than the </w:t>
      </w:r>
      <w:r w:rsidR="00232DF0">
        <w:rPr>
          <w:sz w:val="24"/>
          <w:szCs w:val="24"/>
        </w:rPr>
        <w:t xml:space="preserve">properly arguable </w:t>
      </w:r>
      <w:r w:rsidR="00C03B22">
        <w:rPr>
          <w:sz w:val="24"/>
          <w:szCs w:val="24"/>
        </w:rPr>
        <w:t xml:space="preserve">/ capable </w:t>
      </w:r>
      <w:r w:rsidR="00232DF0">
        <w:rPr>
          <w:sz w:val="24"/>
          <w:szCs w:val="24"/>
        </w:rPr>
        <w:t xml:space="preserve">filter </w:t>
      </w:r>
      <w:r w:rsidR="00A13B0C">
        <w:rPr>
          <w:sz w:val="24"/>
          <w:szCs w:val="24"/>
        </w:rPr>
        <w:t xml:space="preserve">generally applicable to </w:t>
      </w:r>
      <w:r w:rsidR="00232DF0">
        <w:rPr>
          <w:sz w:val="24"/>
          <w:szCs w:val="24"/>
        </w:rPr>
        <w:t xml:space="preserve">an </w:t>
      </w:r>
      <w:r w:rsidR="00A13B0C">
        <w:rPr>
          <w:sz w:val="24"/>
          <w:szCs w:val="24"/>
        </w:rPr>
        <w:t>inferential case</w:t>
      </w:r>
      <w:r w:rsidR="000C03A2">
        <w:rPr>
          <w:sz w:val="24"/>
          <w:szCs w:val="24"/>
        </w:rPr>
        <w:t xml:space="preserve">. This </w:t>
      </w:r>
      <w:r w:rsidR="00232DF0">
        <w:rPr>
          <w:sz w:val="24"/>
          <w:szCs w:val="24"/>
        </w:rPr>
        <w:t>is, essentially, a non-perversity test.</w:t>
      </w:r>
      <w:r w:rsidR="008C09EB">
        <w:rPr>
          <w:rStyle w:val="FootnoteReference"/>
          <w:sz w:val="24"/>
          <w:szCs w:val="24"/>
        </w:rPr>
        <w:footnoteReference w:id="5"/>
      </w:r>
    </w:p>
    <w:p w14:paraId="75614F54" w14:textId="4D5B1AE1" w:rsidR="004B4759" w:rsidRDefault="006E1779" w:rsidP="00CB0DD7">
      <w:pPr>
        <w:pStyle w:val="ListParagraph"/>
        <w:numPr>
          <w:ilvl w:val="0"/>
          <w:numId w:val="1"/>
        </w:numPr>
        <w:spacing w:before="240" w:after="240" w:line="360" w:lineRule="auto"/>
        <w:ind w:left="357" w:hanging="357"/>
        <w:contextualSpacing w:val="0"/>
        <w:rPr>
          <w:sz w:val="24"/>
          <w:szCs w:val="24"/>
        </w:rPr>
      </w:pPr>
      <w:r>
        <w:rPr>
          <w:sz w:val="24"/>
          <w:szCs w:val="24"/>
        </w:rPr>
        <w:t xml:space="preserve">The Judge’s reasons for refusing permission to appeal </w:t>
      </w:r>
      <w:r w:rsidR="008C09EB">
        <w:rPr>
          <w:sz w:val="24"/>
          <w:szCs w:val="24"/>
        </w:rPr>
        <w:t xml:space="preserve">confirm the failure in [119] </w:t>
      </w:r>
      <w:r w:rsidR="00CD1A7C">
        <w:rPr>
          <w:sz w:val="24"/>
          <w:szCs w:val="24"/>
        </w:rPr>
        <w:t xml:space="preserve">to </w:t>
      </w:r>
      <w:r w:rsidR="008C09EB">
        <w:rPr>
          <w:sz w:val="24"/>
          <w:szCs w:val="24"/>
        </w:rPr>
        <w:t xml:space="preserve">recognise this distinction: </w:t>
      </w:r>
      <w:r w:rsidR="001A1A57">
        <w:rPr>
          <w:sz w:val="24"/>
          <w:szCs w:val="24"/>
        </w:rPr>
        <w:t>“</w:t>
      </w:r>
      <w:r w:rsidRPr="001A1A57">
        <w:rPr>
          <w:i/>
          <w:iCs/>
          <w:sz w:val="24"/>
          <w:szCs w:val="24"/>
        </w:rPr>
        <w:t>ii)   The  criticism of my reference to “properly arguable” at [119] and the assertion that the defence under s.3(5) must be established on the balance of probabilities are obviously misplaced. I was not deciding the s.3(5) issue after trial but considering the summary judgment test of</w:t>
      </w:r>
      <w:r w:rsidR="00CD1A7C">
        <w:rPr>
          <w:i/>
          <w:iCs/>
          <w:sz w:val="24"/>
          <w:szCs w:val="24"/>
        </w:rPr>
        <w:t xml:space="preserve"> </w:t>
      </w:r>
      <w:r w:rsidRPr="001A1A57">
        <w:rPr>
          <w:i/>
          <w:iCs/>
          <w:sz w:val="24"/>
          <w:szCs w:val="24"/>
        </w:rPr>
        <w:t>whether the Defendant had established that the Claimant had no real prospect of defeating the defence under s.3(5)</w:t>
      </w:r>
      <w:r w:rsidR="001A1A57">
        <w:rPr>
          <w:sz w:val="24"/>
          <w:szCs w:val="24"/>
        </w:rPr>
        <w:t>”</w:t>
      </w:r>
      <w:r w:rsidRPr="006E1779">
        <w:rPr>
          <w:sz w:val="24"/>
          <w:szCs w:val="24"/>
        </w:rPr>
        <w:t>.</w:t>
      </w:r>
      <w:r w:rsidR="004B4759">
        <w:rPr>
          <w:sz w:val="24"/>
          <w:szCs w:val="24"/>
        </w:rPr>
        <w:t xml:space="preserve">  </w:t>
      </w:r>
    </w:p>
    <w:p w14:paraId="3EC7B269" w14:textId="363B8C96" w:rsidR="006E1779" w:rsidRDefault="004B4759" w:rsidP="00CB0DD7">
      <w:pPr>
        <w:pStyle w:val="ListParagraph"/>
        <w:numPr>
          <w:ilvl w:val="0"/>
          <w:numId w:val="1"/>
        </w:numPr>
        <w:spacing w:before="240" w:after="240" w:line="360" w:lineRule="auto"/>
        <w:ind w:left="357" w:hanging="357"/>
        <w:contextualSpacing w:val="0"/>
        <w:rPr>
          <w:sz w:val="24"/>
          <w:szCs w:val="24"/>
        </w:rPr>
      </w:pPr>
      <w:r>
        <w:rPr>
          <w:sz w:val="24"/>
          <w:szCs w:val="24"/>
        </w:rPr>
        <w:lastRenderedPageBreak/>
        <w:t>D did not assert that “</w:t>
      </w:r>
      <w:r w:rsidRPr="001A1A57">
        <w:rPr>
          <w:i/>
          <w:iCs/>
          <w:sz w:val="24"/>
          <w:szCs w:val="24"/>
        </w:rPr>
        <w:t>s.3(5) must be established on the balance of probabilities</w:t>
      </w:r>
      <w:r>
        <w:rPr>
          <w:i/>
          <w:iCs/>
          <w:sz w:val="24"/>
          <w:szCs w:val="24"/>
        </w:rPr>
        <w:t>”</w:t>
      </w:r>
      <w:r>
        <w:rPr>
          <w:sz w:val="24"/>
          <w:szCs w:val="24"/>
        </w:rPr>
        <w:t>. H</w:t>
      </w:r>
      <w:r w:rsidR="00012B99">
        <w:rPr>
          <w:sz w:val="24"/>
          <w:szCs w:val="24"/>
        </w:rPr>
        <w:t>is PTA application asserted</w:t>
      </w:r>
      <w:r>
        <w:rPr>
          <w:sz w:val="24"/>
          <w:szCs w:val="24"/>
        </w:rPr>
        <w:t>: “</w:t>
      </w:r>
      <w:r w:rsidRPr="004B4759">
        <w:rPr>
          <w:i/>
          <w:iCs/>
          <w:sz w:val="24"/>
          <w:szCs w:val="24"/>
        </w:rPr>
        <w:t>Evidence relied on in support of a s.3(5) case is subject to a probability, not arguability, test.  The Interview could only be relied on in support of s.3(5) if it raised the probability that the Defendant did not believe that the Claimant had called Hamas freedom fighters.</w:t>
      </w:r>
      <w:r>
        <w:rPr>
          <w:sz w:val="24"/>
          <w:szCs w:val="24"/>
        </w:rPr>
        <w:t>”</w:t>
      </w:r>
      <w:r w:rsidR="00012B99">
        <w:rPr>
          <w:rStyle w:val="FootnoteReference"/>
          <w:sz w:val="24"/>
          <w:szCs w:val="24"/>
        </w:rPr>
        <w:footnoteReference w:id="6"/>
      </w:r>
      <w:r w:rsidRPr="00967894">
        <w:rPr>
          <w:sz w:val="24"/>
          <w:szCs w:val="24"/>
        </w:rPr>
        <w:t xml:space="preserve">  </w:t>
      </w:r>
      <w:r>
        <w:rPr>
          <w:sz w:val="24"/>
          <w:szCs w:val="24"/>
        </w:rPr>
        <w:t xml:space="preserve"> </w:t>
      </w:r>
      <w:r w:rsidR="00012B99">
        <w:rPr>
          <w:sz w:val="24"/>
          <w:szCs w:val="24"/>
        </w:rPr>
        <w:t>The same point was made at the hearing and apparently accepted by the Judge.</w:t>
      </w:r>
      <w:r w:rsidR="00012B99">
        <w:rPr>
          <w:rStyle w:val="FootnoteReference"/>
          <w:sz w:val="24"/>
          <w:szCs w:val="24"/>
        </w:rPr>
        <w:footnoteReference w:id="7"/>
      </w:r>
    </w:p>
    <w:p w14:paraId="37D5F981" w14:textId="76DB2320" w:rsidR="008167CD" w:rsidRDefault="006F15F5"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The probability test </w:t>
      </w:r>
      <w:r w:rsidR="001B1030">
        <w:rPr>
          <w:sz w:val="24"/>
          <w:szCs w:val="24"/>
        </w:rPr>
        <w:t xml:space="preserve">can be justified on the basis </w:t>
      </w:r>
      <w:r w:rsidR="00576CC1">
        <w:rPr>
          <w:sz w:val="24"/>
          <w:szCs w:val="24"/>
        </w:rPr>
        <w:t xml:space="preserve">that dishonesty is inherently less likely than mistake and/or on the reputational consequences for the defendant of such an allegation being litigated.  </w:t>
      </w:r>
    </w:p>
    <w:p w14:paraId="17D7725E" w14:textId="63B33C48" w:rsidR="00597483" w:rsidRDefault="00576CC1"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In publication torts, there is </w:t>
      </w:r>
      <w:r w:rsidR="000B2034">
        <w:rPr>
          <w:sz w:val="24"/>
          <w:szCs w:val="24"/>
        </w:rPr>
        <w:t xml:space="preserve">the </w:t>
      </w:r>
      <w:r>
        <w:rPr>
          <w:sz w:val="24"/>
          <w:szCs w:val="24"/>
        </w:rPr>
        <w:t xml:space="preserve">additional policy justification of protecting freedom of expression.  </w:t>
      </w:r>
      <w:r w:rsidR="00FD29C3">
        <w:rPr>
          <w:sz w:val="24"/>
          <w:szCs w:val="24"/>
        </w:rPr>
        <w:t>The p</w:t>
      </w:r>
      <w:r w:rsidR="008167CD">
        <w:rPr>
          <w:sz w:val="24"/>
          <w:szCs w:val="24"/>
        </w:rPr>
        <w:t xml:space="preserve">rotection of reputation and freedom of expression </w:t>
      </w:r>
      <w:r w:rsidR="00572075">
        <w:rPr>
          <w:sz w:val="24"/>
          <w:szCs w:val="24"/>
        </w:rPr>
        <w:t xml:space="preserve">is </w:t>
      </w:r>
      <w:r w:rsidR="00597483">
        <w:rPr>
          <w:sz w:val="24"/>
          <w:szCs w:val="24"/>
        </w:rPr>
        <w:t xml:space="preserve">largely </w:t>
      </w:r>
      <w:r w:rsidR="008167CD">
        <w:rPr>
          <w:sz w:val="24"/>
          <w:szCs w:val="24"/>
        </w:rPr>
        <w:t xml:space="preserve">balanced by </w:t>
      </w:r>
      <w:r w:rsidR="00597483">
        <w:rPr>
          <w:sz w:val="24"/>
          <w:szCs w:val="24"/>
        </w:rPr>
        <w:t>what each party has to prove in the particular circumstances of the case.  Where a claimant is required to prove dishonesty in order to succeed freedom of expression</w:t>
      </w:r>
      <w:r w:rsidR="00794BC2">
        <w:rPr>
          <w:sz w:val="24"/>
          <w:szCs w:val="24"/>
        </w:rPr>
        <w:t xml:space="preserve"> is accorded the greatest possible protection (</w:t>
      </w:r>
      <w:r w:rsidR="00597483">
        <w:rPr>
          <w:sz w:val="24"/>
          <w:szCs w:val="24"/>
        </w:rPr>
        <w:t>other than the exceptional categories of absolute privilege</w:t>
      </w:r>
      <w:r w:rsidR="00794BC2">
        <w:rPr>
          <w:sz w:val="24"/>
          <w:szCs w:val="24"/>
        </w:rPr>
        <w:t>)</w:t>
      </w:r>
      <w:r w:rsidR="00597483">
        <w:rPr>
          <w:sz w:val="24"/>
          <w:szCs w:val="24"/>
        </w:rPr>
        <w:t xml:space="preserve">.  </w:t>
      </w:r>
    </w:p>
    <w:p w14:paraId="2D562165" w14:textId="4DE2CFCF" w:rsidR="00576CC1" w:rsidRDefault="00597483" w:rsidP="00EA34F2">
      <w:pPr>
        <w:pStyle w:val="ListParagraph"/>
        <w:numPr>
          <w:ilvl w:val="0"/>
          <w:numId w:val="1"/>
        </w:numPr>
        <w:spacing w:before="240" w:after="240" w:line="360" w:lineRule="auto"/>
        <w:ind w:left="357" w:hanging="357"/>
        <w:contextualSpacing w:val="0"/>
        <w:rPr>
          <w:sz w:val="24"/>
          <w:szCs w:val="24"/>
        </w:rPr>
      </w:pPr>
      <w:r w:rsidRPr="00597483">
        <w:rPr>
          <w:sz w:val="24"/>
          <w:szCs w:val="24"/>
        </w:rPr>
        <w:t xml:space="preserve">The courts have recognised that the protection given to freedom of expression by </w:t>
      </w:r>
      <w:r w:rsidR="00794BC2">
        <w:rPr>
          <w:sz w:val="24"/>
          <w:szCs w:val="24"/>
        </w:rPr>
        <w:t xml:space="preserve">requiring proof of </w:t>
      </w:r>
      <w:r w:rsidRPr="00597483">
        <w:rPr>
          <w:sz w:val="24"/>
          <w:szCs w:val="24"/>
        </w:rPr>
        <w:t>dishonesty and the public policy that it serves can easily become illusory where the tribunal of fact too readily infers dishonesty</w:t>
      </w:r>
      <w:r>
        <w:rPr>
          <w:sz w:val="24"/>
          <w:szCs w:val="24"/>
        </w:rPr>
        <w:t xml:space="preserve">.  </w:t>
      </w:r>
      <w:r w:rsidR="00576CC1">
        <w:rPr>
          <w:sz w:val="24"/>
          <w:szCs w:val="24"/>
        </w:rPr>
        <w:t>This recogni</w:t>
      </w:r>
      <w:r>
        <w:rPr>
          <w:sz w:val="24"/>
          <w:szCs w:val="24"/>
        </w:rPr>
        <w:t xml:space="preserve">tion pre-dates the HRA and regular </w:t>
      </w:r>
      <w:r w:rsidR="00576CC1">
        <w:rPr>
          <w:sz w:val="24"/>
          <w:szCs w:val="24"/>
        </w:rPr>
        <w:t>invocation of Article 10 in domestic cases</w:t>
      </w:r>
      <w:r w:rsidR="00FD29C3">
        <w:rPr>
          <w:sz w:val="24"/>
          <w:szCs w:val="24"/>
        </w:rPr>
        <w:t>, but</w:t>
      </w:r>
      <w:r w:rsidR="000C03A2">
        <w:rPr>
          <w:sz w:val="24"/>
          <w:szCs w:val="24"/>
        </w:rPr>
        <w:t xml:space="preserve"> </w:t>
      </w:r>
      <w:r>
        <w:rPr>
          <w:sz w:val="24"/>
          <w:szCs w:val="24"/>
        </w:rPr>
        <w:t>is fortified by it</w:t>
      </w:r>
      <w:r w:rsidR="00576CC1">
        <w:rPr>
          <w:sz w:val="24"/>
          <w:szCs w:val="24"/>
        </w:rPr>
        <w:t>.</w:t>
      </w:r>
      <w:r w:rsidR="00FC4711">
        <w:rPr>
          <w:rStyle w:val="FootnoteReference"/>
          <w:sz w:val="24"/>
          <w:szCs w:val="24"/>
        </w:rPr>
        <w:footnoteReference w:id="8"/>
      </w:r>
      <w:r w:rsidR="00576CC1">
        <w:rPr>
          <w:sz w:val="24"/>
          <w:szCs w:val="24"/>
        </w:rPr>
        <w:t xml:space="preserve"> </w:t>
      </w:r>
    </w:p>
    <w:p w14:paraId="6BFD5874" w14:textId="6593727F" w:rsidR="00450441" w:rsidRDefault="00450441"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The particular aspect of </w:t>
      </w:r>
      <w:r w:rsidR="00597483">
        <w:rPr>
          <w:sz w:val="24"/>
          <w:szCs w:val="24"/>
        </w:rPr>
        <w:t xml:space="preserve">public policy </w:t>
      </w:r>
      <w:r>
        <w:rPr>
          <w:sz w:val="24"/>
          <w:szCs w:val="24"/>
        </w:rPr>
        <w:t xml:space="preserve">will vary depending on the circumstances in which </w:t>
      </w:r>
      <w:r w:rsidR="00F23150">
        <w:rPr>
          <w:sz w:val="24"/>
          <w:szCs w:val="24"/>
        </w:rPr>
        <w:t xml:space="preserve">the </w:t>
      </w:r>
      <w:r>
        <w:rPr>
          <w:sz w:val="24"/>
          <w:szCs w:val="24"/>
        </w:rPr>
        <w:t xml:space="preserve">obligation to prove dishonesty arises. In the context of s.3(5), </w:t>
      </w:r>
      <w:r w:rsidR="00794BC2">
        <w:rPr>
          <w:sz w:val="24"/>
          <w:szCs w:val="24"/>
        </w:rPr>
        <w:t xml:space="preserve">it is </w:t>
      </w:r>
      <w:r w:rsidR="00A369BA">
        <w:rPr>
          <w:sz w:val="24"/>
          <w:szCs w:val="24"/>
        </w:rPr>
        <w:t>“</w:t>
      </w:r>
      <w:r w:rsidR="00A369BA" w:rsidRPr="00A369BA">
        <w:rPr>
          <w:i/>
          <w:iCs/>
          <w:sz w:val="24"/>
          <w:szCs w:val="24"/>
        </w:rPr>
        <w:t>the public interest that everyone should be free to express his own, honestly held views on such matters, subject always to the safeguards provided by the objective limits</w:t>
      </w:r>
      <w:r w:rsidR="00A369BA">
        <w:rPr>
          <w:sz w:val="24"/>
          <w:szCs w:val="24"/>
        </w:rPr>
        <w:t xml:space="preserve"> </w:t>
      </w:r>
      <w:r w:rsidR="00A369BA">
        <w:rPr>
          <w:sz w:val="24"/>
          <w:szCs w:val="24"/>
        </w:rPr>
        <w:lastRenderedPageBreak/>
        <w:t>[i.e. s.3(2)-(4)].”</w:t>
      </w:r>
      <w:r w:rsidR="00FD29C3">
        <w:rPr>
          <w:rStyle w:val="FootnoteReference"/>
          <w:sz w:val="24"/>
          <w:szCs w:val="24"/>
        </w:rPr>
        <w:footnoteReference w:id="9"/>
      </w:r>
      <w:r w:rsidR="00A369BA" w:rsidRPr="00A369BA">
        <w:rPr>
          <w:sz w:val="24"/>
          <w:szCs w:val="24"/>
        </w:rPr>
        <w:t xml:space="preserve"> </w:t>
      </w:r>
      <w:r w:rsidR="00A369BA">
        <w:rPr>
          <w:sz w:val="24"/>
          <w:szCs w:val="24"/>
        </w:rPr>
        <w:t xml:space="preserve"> This is recognised to be of particular importance in relation to political speech: “</w:t>
      </w:r>
      <w:r w:rsidR="00A369BA" w:rsidRPr="00A369BA">
        <w:rPr>
          <w:i/>
          <w:iCs/>
          <w:sz w:val="24"/>
          <w:szCs w:val="24"/>
        </w:rPr>
        <w:t>untrammelled discussion of public affairs and of those participating in them is a basic safeguard against irresponsible political power.  The unfettered preservation of the right of fair comment is, therefore, one of the foundations supporting our standards of personal liberty</w:t>
      </w:r>
      <w:r w:rsidR="00A369BA">
        <w:rPr>
          <w:sz w:val="24"/>
          <w:szCs w:val="24"/>
        </w:rPr>
        <w:t>”</w:t>
      </w:r>
      <w:r w:rsidR="00A369BA" w:rsidRPr="00A369BA">
        <w:rPr>
          <w:sz w:val="24"/>
          <w:szCs w:val="24"/>
        </w:rPr>
        <w:t>.</w:t>
      </w:r>
      <w:r w:rsidR="00FD29C3">
        <w:rPr>
          <w:rStyle w:val="FootnoteReference"/>
          <w:sz w:val="24"/>
          <w:szCs w:val="24"/>
        </w:rPr>
        <w:footnoteReference w:id="10"/>
      </w:r>
      <w:r>
        <w:rPr>
          <w:sz w:val="24"/>
          <w:szCs w:val="24"/>
        </w:rPr>
        <w:t xml:space="preserve"> </w:t>
      </w:r>
    </w:p>
    <w:p w14:paraId="4701C39B" w14:textId="76195518" w:rsidR="009036D4" w:rsidRDefault="009036D4"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There are </w:t>
      </w:r>
      <w:r w:rsidR="0042668B">
        <w:rPr>
          <w:sz w:val="24"/>
          <w:szCs w:val="24"/>
        </w:rPr>
        <w:t xml:space="preserve">specific </w:t>
      </w:r>
      <w:r w:rsidR="00A369BA">
        <w:rPr>
          <w:sz w:val="24"/>
          <w:szCs w:val="24"/>
        </w:rPr>
        <w:t>feature</w:t>
      </w:r>
      <w:r>
        <w:rPr>
          <w:sz w:val="24"/>
          <w:szCs w:val="24"/>
        </w:rPr>
        <w:t>s</w:t>
      </w:r>
      <w:r w:rsidR="00A369BA">
        <w:rPr>
          <w:sz w:val="24"/>
          <w:szCs w:val="24"/>
        </w:rPr>
        <w:t xml:space="preserve"> of s.3(5) </w:t>
      </w:r>
      <w:r>
        <w:rPr>
          <w:sz w:val="24"/>
          <w:szCs w:val="24"/>
        </w:rPr>
        <w:t xml:space="preserve">that make </w:t>
      </w:r>
      <w:r w:rsidR="00FD29C3">
        <w:rPr>
          <w:sz w:val="24"/>
          <w:szCs w:val="24"/>
        </w:rPr>
        <w:t xml:space="preserve">it </w:t>
      </w:r>
      <w:r>
        <w:rPr>
          <w:sz w:val="24"/>
          <w:szCs w:val="24"/>
        </w:rPr>
        <w:t xml:space="preserve">even more difficult to </w:t>
      </w:r>
      <w:r w:rsidR="0042668B">
        <w:rPr>
          <w:sz w:val="24"/>
          <w:szCs w:val="24"/>
        </w:rPr>
        <w:t xml:space="preserve">satisfy the probability test </w:t>
      </w:r>
      <w:r>
        <w:rPr>
          <w:sz w:val="24"/>
          <w:szCs w:val="24"/>
        </w:rPr>
        <w:t xml:space="preserve">than in other contexts.  </w:t>
      </w:r>
    </w:p>
    <w:p w14:paraId="7719A752" w14:textId="4413E536" w:rsidR="002F5C89" w:rsidRDefault="009036D4" w:rsidP="00F23150">
      <w:pPr>
        <w:pStyle w:val="ListParagraph"/>
        <w:numPr>
          <w:ilvl w:val="1"/>
          <w:numId w:val="1"/>
        </w:numPr>
        <w:spacing w:before="240" w:after="240" w:line="360" w:lineRule="auto"/>
        <w:contextualSpacing w:val="0"/>
        <w:rPr>
          <w:sz w:val="24"/>
          <w:szCs w:val="24"/>
        </w:rPr>
      </w:pPr>
      <w:r>
        <w:rPr>
          <w:sz w:val="24"/>
          <w:szCs w:val="24"/>
        </w:rPr>
        <w:t xml:space="preserve">First, the issue </w:t>
      </w:r>
      <w:r w:rsidR="00A369BA">
        <w:rPr>
          <w:sz w:val="24"/>
          <w:szCs w:val="24"/>
        </w:rPr>
        <w:t>only arises whe</w:t>
      </w:r>
      <w:r w:rsidR="00FD29C3">
        <w:rPr>
          <w:sz w:val="24"/>
          <w:szCs w:val="24"/>
        </w:rPr>
        <w:t>n</w:t>
      </w:r>
      <w:r w:rsidR="00A369BA">
        <w:rPr>
          <w:sz w:val="24"/>
          <w:szCs w:val="24"/>
        </w:rPr>
        <w:t xml:space="preserve"> the defendant has established </w:t>
      </w:r>
      <w:r w:rsidR="002F5C89">
        <w:rPr>
          <w:sz w:val="24"/>
          <w:szCs w:val="24"/>
        </w:rPr>
        <w:t xml:space="preserve">s.3(2)-(4) i.e. </w:t>
      </w:r>
      <w:r w:rsidR="00A369BA">
        <w:rPr>
          <w:sz w:val="24"/>
          <w:szCs w:val="24"/>
        </w:rPr>
        <w:t xml:space="preserve">that </w:t>
      </w:r>
      <w:r w:rsidR="002F5C89">
        <w:rPr>
          <w:sz w:val="24"/>
          <w:szCs w:val="24"/>
        </w:rPr>
        <w:t xml:space="preserve">the words are opinion and </w:t>
      </w:r>
      <w:r w:rsidR="00A369BA">
        <w:rPr>
          <w:sz w:val="24"/>
          <w:szCs w:val="24"/>
        </w:rPr>
        <w:t xml:space="preserve">an honest person could hold the opinion on the basis of sufficiently true facts. This may be contrasted with malice in relation to common law qualified privilege </w:t>
      </w:r>
      <w:r w:rsidR="002F5C89">
        <w:rPr>
          <w:sz w:val="24"/>
          <w:szCs w:val="24"/>
        </w:rPr>
        <w:t>and malicious falsehood</w:t>
      </w:r>
      <w:r w:rsidR="00FD29C3">
        <w:rPr>
          <w:sz w:val="24"/>
          <w:szCs w:val="24"/>
        </w:rPr>
        <w:t>,</w:t>
      </w:r>
      <w:r w:rsidR="00CA1D37">
        <w:rPr>
          <w:sz w:val="24"/>
          <w:szCs w:val="24"/>
        </w:rPr>
        <w:t xml:space="preserve"> often </w:t>
      </w:r>
      <w:r w:rsidR="00A51EDE">
        <w:rPr>
          <w:sz w:val="24"/>
          <w:szCs w:val="24"/>
        </w:rPr>
        <w:t>involv</w:t>
      </w:r>
      <w:r w:rsidR="00CA1D37">
        <w:rPr>
          <w:sz w:val="24"/>
          <w:szCs w:val="24"/>
        </w:rPr>
        <w:t xml:space="preserve">ing </w:t>
      </w:r>
      <w:r w:rsidR="00A51EDE">
        <w:rPr>
          <w:sz w:val="24"/>
          <w:szCs w:val="24"/>
        </w:rPr>
        <w:t xml:space="preserve">unequivocal factual allegations </w:t>
      </w:r>
      <w:r w:rsidR="00CA1D37">
        <w:rPr>
          <w:sz w:val="24"/>
          <w:szCs w:val="24"/>
        </w:rPr>
        <w:t xml:space="preserve">with </w:t>
      </w:r>
      <w:r w:rsidR="00A51EDE">
        <w:rPr>
          <w:sz w:val="24"/>
          <w:szCs w:val="24"/>
        </w:rPr>
        <w:t xml:space="preserve">no evidential basis. </w:t>
      </w:r>
    </w:p>
    <w:p w14:paraId="618498F7" w14:textId="6ED8FCE6" w:rsidR="005D7102" w:rsidRDefault="0042668B" w:rsidP="00F23150">
      <w:pPr>
        <w:pStyle w:val="ListParagraph"/>
        <w:numPr>
          <w:ilvl w:val="1"/>
          <w:numId w:val="1"/>
        </w:numPr>
        <w:spacing w:before="240" w:after="240" w:line="360" w:lineRule="auto"/>
        <w:rPr>
          <w:sz w:val="24"/>
          <w:szCs w:val="24"/>
        </w:rPr>
      </w:pPr>
      <w:r>
        <w:rPr>
          <w:sz w:val="24"/>
          <w:szCs w:val="24"/>
        </w:rPr>
        <w:t xml:space="preserve">Second, an opinion is inherently subjective.  </w:t>
      </w:r>
      <w:r w:rsidR="005D7102">
        <w:rPr>
          <w:sz w:val="24"/>
          <w:szCs w:val="24"/>
        </w:rPr>
        <w:t xml:space="preserve">If the </w:t>
      </w:r>
      <w:r w:rsidR="000E639F">
        <w:rPr>
          <w:sz w:val="24"/>
          <w:szCs w:val="24"/>
        </w:rPr>
        <w:t xml:space="preserve">judge </w:t>
      </w:r>
      <w:r w:rsidR="005D7102">
        <w:rPr>
          <w:sz w:val="24"/>
          <w:szCs w:val="24"/>
        </w:rPr>
        <w:t xml:space="preserve">does not </w:t>
      </w:r>
      <w:r w:rsidR="00572075">
        <w:rPr>
          <w:sz w:val="24"/>
          <w:szCs w:val="24"/>
        </w:rPr>
        <w:t>regard the opinion to be substantially true for the purpose of s</w:t>
      </w:r>
      <w:r w:rsidR="008E1C25">
        <w:rPr>
          <w:sz w:val="24"/>
          <w:szCs w:val="24"/>
        </w:rPr>
        <w:t>.</w:t>
      </w:r>
      <w:r w:rsidR="00572075">
        <w:rPr>
          <w:sz w:val="24"/>
          <w:szCs w:val="24"/>
        </w:rPr>
        <w:t xml:space="preserve">2 </w:t>
      </w:r>
      <w:r w:rsidR="005D7102">
        <w:rPr>
          <w:sz w:val="24"/>
          <w:szCs w:val="24"/>
        </w:rPr>
        <w:t xml:space="preserve">that is not a possible basis for inferring that the defendant was dishonest in expressing it.  </w:t>
      </w:r>
      <w:r w:rsidR="000E639F">
        <w:rPr>
          <w:sz w:val="24"/>
          <w:szCs w:val="24"/>
        </w:rPr>
        <w:t xml:space="preserve">It is, at least, equally likely that the defendant simply takes a different view to the judge. </w:t>
      </w:r>
      <w:r w:rsidR="00A51EDE">
        <w:rPr>
          <w:sz w:val="24"/>
          <w:szCs w:val="24"/>
        </w:rPr>
        <w:t xml:space="preserve">Again, this </w:t>
      </w:r>
      <w:r w:rsidR="005D7102">
        <w:rPr>
          <w:sz w:val="24"/>
          <w:szCs w:val="24"/>
        </w:rPr>
        <w:t xml:space="preserve">may be contrasted with </w:t>
      </w:r>
      <w:r w:rsidR="00A51EDE">
        <w:rPr>
          <w:sz w:val="24"/>
          <w:szCs w:val="24"/>
        </w:rPr>
        <w:t xml:space="preserve">an </w:t>
      </w:r>
      <w:r w:rsidR="005D7102">
        <w:rPr>
          <w:sz w:val="24"/>
          <w:szCs w:val="24"/>
        </w:rPr>
        <w:t xml:space="preserve">unequivocal </w:t>
      </w:r>
      <w:r w:rsidR="00A51EDE">
        <w:rPr>
          <w:sz w:val="24"/>
          <w:szCs w:val="24"/>
        </w:rPr>
        <w:t xml:space="preserve">factual </w:t>
      </w:r>
      <w:r w:rsidR="005D7102">
        <w:rPr>
          <w:sz w:val="24"/>
          <w:szCs w:val="24"/>
        </w:rPr>
        <w:t>allegation</w:t>
      </w:r>
      <w:r w:rsidR="00A51EDE">
        <w:rPr>
          <w:sz w:val="24"/>
          <w:szCs w:val="24"/>
        </w:rPr>
        <w:t xml:space="preserve">. </w:t>
      </w:r>
    </w:p>
    <w:p w14:paraId="4216400E" w14:textId="77777777" w:rsidR="005D7102" w:rsidRDefault="005D7102" w:rsidP="005D7102">
      <w:pPr>
        <w:pStyle w:val="ListParagraph"/>
        <w:spacing w:before="240" w:after="240" w:line="360" w:lineRule="auto"/>
        <w:ind w:left="792"/>
        <w:rPr>
          <w:sz w:val="24"/>
          <w:szCs w:val="24"/>
        </w:rPr>
      </w:pPr>
    </w:p>
    <w:p w14:paraId="023532C3" w14:textId="41539995" w:rsidR="005D7102" w:rsidRDefault="005D7102" w:rsidP="00F23150">
      <w:pPr>
        <w:pStyle w:val="ListParagraph"/>
        <w:numPr>
          <w:ilvl w:val="1"/>
          <w:numId w:val="1"/>
        </w:numPr>
        <w:spacing w:before="240" w:after="240" w:line="360" w:lineRule="auto"/>
        <w:rPr>
          <w:sz w:val="24"/>
          <w:szCs w:val="24"/>
        </w:rPr>
      </w:pPr>
      <w:r>
        <w:rPr>
          <w:sz w:val="24"/>
          <w:szCs w:val="24"/>
        </w:rPr>
        <w:t xml:space="preserve">Third, </w:t>
      </w:r>
      <w:r w:rsidR="00A51EDE">
        <w:rPr>
          <w:sz w:val="24"/>
          <w:szCs w:val="24"/>
        </w:rPr>
        <w:t xml:space="preserve">the defence of </w:t>
      </w:r>
      <w:r w:rsidR="003F0A7B">
        <w:rPr>
          <w:sz w:val="24"/>
          <w:szCs w:val="24"/>
        </w:rPr>
        <w:t xml:space="preserve">honest opinion </w:t>
      </w:r>
      <w:r w:rsidR="00A51EDE">
        <w:rPr>
          <w:sz w:val="24"/>
          <w:szCs w:val="24"/>
        </w:rPr>
        <w:t xml:space="preserve">is intended to protect a wide range of opinions made by a wide range of people.  It is not subject to any reasonableness test.  If s.3(5) can be advanced on the basis of what the </w:t>
      </w:r>
      <w:r w:rsidR="00FD29C3">
        <w:rPr>
          <w:sz w:val="24"/>
          <w:szCs w:val="24"/>
        </w:rPr>
        <w:t xml:space="preserve">judge thinks that the </w:t>
      </w:r>
      <w:r w:rsidR="00A51EDE">
        <w:rPr>
          <w:sz w:val="24"/>
          <w:szCs w:val="24"/>
        </w:rPr>
        <w:t xml:space="preserve">defendant ought to have realised, the practical effect is to bring in a reasonableness test through the back door. </w:t>
      </w:r>
    </w:p>
    <w:p w14:paraId="0BB5D8EF" w14:textId="77777777" w:rsidR="00A44D16" w:rsidRPr="00967894" w:rsidRDefault="00A44D16" w:rsidP="00A44D16">
      <w:pPr>
        <w:pStyle w:val="ListParagraph"/>
        <w:spacing w:before="240" w:after="240" w:line="360" w:lineRule="auto"/>
        <w:ind w:left="360"/>
        <w:rPr>
          <w:sz w:val="24"/>
          <w:szCs w:val="24"/>
        </w:rPr>
      </w:pPr>
    </w:p>
    <w:p w14:paraId="4E31BB75" w14:textId="2C887694" w:rsidR="00A369BA" w:rsidRDefault="00A44D16"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These features of dishonesty in the context of honest opinion underpin </w:t>
      </w:r>
      <w:r w:rsidR="002F5C89">
        <w:rPr>
          <w:sz w:val="24"/>
          <w:szCs w:val="24"/>
        </w:rPr>
        <w:t xml:space="preserve">Lord Phillips’ frequently cited observation in </w:t>
      </w:r>
      <w:r w:rsidR="002F5C89" w:rsidRPr="00216694">
        <w:rPr>
          <w:i/>
          <w:iCs/>
          <w:sz w:val="24"/>
          <w:szCs w:val="24"/>
        </w:rPr>
        <w:t>Spiller v Joseph</w:t>
      </w:r>
      <w:r w:rsidR="002F5C89" w:rsidRPr="00216694">
        <w:rPr>
          <w:sz w:val="24"/>
          <w:szCs w:val="24"/>
        </w:rPr>
        <w:t xml:space="preserve"> [2011] 1 AC 852</w:t>
      </w:r>
      <w:r w:rsidR="002F5C89">
        <w:rPr>
          <w:sz w:val="24"/>
          <w:szCs w:val="24"/>
        </w:rPr>
        <w:t xml:space="preserve"> at [108]: </w:t>
      </w:r>
    </w:p>
    <w:p w14:paraId="0E5807B9" w14:textId="622CFDC0" w:rsidR="002F5C89" w:rsidRDefault="002F5C89" w:rsidP="002F5C89">
      <w:pPr>
        <w:pStyle w:val="ListParagraph"/>
        <w:spacing w:before="240" w:after="240" w:line="360" w:lineRule="auto"/>
        <w:ind w:left="357"/>
        <w:contextualSpacing w:val="0"/>
        <w:rPr>
          <w:sz w:val="24"/>
          <w:szCs w:val="24"/>
        </w:rPr>
      </w:pPr>
      <w:r w:rsidRPr="002624E0">
        <w:rPr>
          <w:i/>
          <w:iCs/>
          <w:sz w:val="24"/>
          <w:szCs w:val="24"/>
        </w:rPr>
        <w:t xml:space="preserve">“In practice this issue is seldom likely to be explored, for the burden is on the claimant and how can he set about proving that the defendant did not believe what he said? The subjective nature of the defence of fair comment has diminished. The </w:t>
      </w:r>
      <w:r w:rsidRPr="002624E0">
        <w:rPr>
          <w:i/>
          <w:iCs/>
          <w:sz w:val="24"/>
          <w:szCs w:val="24"/>
        </w:rPr>
        <w:lastRenderedPageBreak/>
        <w:t>issue is no longer the subjective one – did the defendant honestly believe that the facts on which he commented justified his comment? Instead the focus has been on the objective question: could an obstinate and prejudiced person have honestly based the comment made by the defendant on the facts on which the defendant commented?”</w:t>
      </w:r>
    </w:p>
    <w:p w14:paraId="1C56AAB4" w14:textId="77777777" w:rsidR="00FD29C3" w:rsidRDefault="008167CD" w:rsidP="006203FB">
      <w:pPr>
        <w:pStyle w:val="ListParagraph"/>
        <w:numPr>
          <w:ilvl w:val="0"/>
          <w:numId w:val="1"/>
        </w:numPr>
        <w:spacing w:before="240" w:after="240" w:line="360" w:lineRule="auto"/>
        <w:ind w:left="357" w:hanging="357"/>
        <w:contextualSpacing w:val="0"/>
        <w:rPr>
          <w:sz w:val="24"/>
          <w:szCs w:val="24"/>
        </w:rPr>
      </w:pPr>
      <w:r w:rsidRPr="00DF63F6">
        <w:rPr>
          <w:sz w:val="24"/>
          <w:szCs w:val="24"/>
        </w:rPr>
        <w:t xml:space="preserve">It is important to recognise </w:t>
      </w:r>
      <w:r w:rsidR="00FD29C3">
        <w:rPr>
          <w:sz w:val="24"/>
          <w:szCs w:val="24"/>
        </w:rPr>
        <w:t xml:space="preserve">that </w:t>
      </w:r>
      <w:r w:rsidR="00576CC1" w:rsidRPr="00DF63F6">
        <w:rPr>
          <w:sz w:val="24"/>
          <w:szCs w:val="24"/>
        </w:rPr>
        <w:t>Article 10 is not only engaged by a finding of liability against a defendant</w:t>
      </w:r>
      <w:r w:rsidRPr="00DF63F6">
        <w:rPr>
          <w:sz w:val="24"/>
          <w:szCs w:val="24"/>
        </w:rPr>
        <w:t xml:space="preserve"> who has expressed an opinion with a sufficient factual basis</w:t>
      </w:r>
      <w:r w:rsidR="00576CC1" w:rsidRPr="00DF63F6">
        <w:rPr>
          <w:sz w:val="24"/>
          <w:szCs w:val="24"/>
        </w:rPr>
        <w:t xml:space="preserve">.  Permitting a claim to proceed </w:t>
      </w:r>
      <w:r w:rsidR="000B2034" w:rsidRPr="00DF63F6">
        <w:rPr>
          <w:sz w:val="24"/>
          <w:szCs w:val="24"/>
        </w:rPr>
        <w:t xml:space="preserve">to trial </w:t>
      </w:r>
      <w:r w:rsidRPr="00DF63F6">
        <w:rPr>
          <w:sz w:val="24"/>
          <w:szCs w:val="24"/>
        </w:rPr>
        <w:t xml:space="preserve">in order for the defendant to be cross-examined as to the honesty of the opinion </w:t>
      </w:r>
      <w:r w:rsidR="000B2034" w:rsidRPr="00DF63F6">
        <w:rPr>
          <w:sz w:val="24"/>
          <w:szCs w:val="24"/>
        </w:rPr>
        <w:t xml:space="preserve">is </w:t>
      </w:r>
      <w:r w:rsidR="00794BC2" w:rsidRPr="00DF63F6">
        <w:rPr>
          <w:sz w:val="24"/>
          <w:szCs w:val="24"/>
        </w:rPr>
        <w:t xml:space="preserve">itself </w:t>
      </w:r>
      <w:r w:rsidR="000B2034" w:rsidRPr="00DF63F6">
        <w:rPr>
          <w:sz w:val="24"/>
          <w:szCs w:val="24"/>
        </w:rPr>
        <w:t>a serious interference.</w:t>
      </w:r>
      <w:r w:rsidR="00FD29C3">
        <w:rPr>
          <w:rStyle w:val="FootnoteReference"/>
          <w:sz w:val="24"/>
          <w:szCs w:val="24"/>
        </w:rPr>
        <w:footnoteReference w:id="11"/>
      </w:r>
      <w:r w:rsidR="000B2034" w:rsidRPr="00DF63F6">
        <w:rPr>
          <w:sz w:val="24"/>
          <w:szCs w:val="24"/>
        </w:rPr>
        <w:t xml:space="preserve">  </w:t>
      </w:r>
      <w:r w:rsidR="00DF63F6" w:rsidRPr="00DF63F6">
        <w:rPr>
          <w:sz w:val="24"/>
          <w:szCs w:val="24"/>
        </w:rPr>
        <w:t xml:space="preserve">It follows that the court has a </w:t>
      </w:r>
      <w:r w:rsidR="00901E03" w:rsidRPr="00DF63F6">
        <w:rPr>
          <w:sz w:val="24"/>
          <w:szCs w:val="24"/>
        </w:rPr>
        <w:t>duty</w:t>
      </w:r>
      <w:r w:rsidR="00DF63F6" w:rsidRPr="00DF63F6">
        <w:rPr>
          <w:sz w:val="24"/>
          <w:szCs w:val="24"/>
        </w:rPr>
        <w:t xml:space="preserve"> </w:t>
      </w:r>
      <w:bookmarkStart w:id="5" w:name="_Hlk195426779"/>
      <w:r w:rsidR="00DF63F6" w:rsidRPr="00DF63F6">
        <w:rPr>
          <w:sz w:val="24"/>
          <w:szCs w:val="24"/>
        </w:rPr>
        <w:t xml:space="preserve">carefully to scrutinise </w:t>
      </w:r>
      <w:bookmarkEnd w:id="5"/>
      <w:r w:rsidR="00DF63F6" w:rsidRPr="00DF63F6">
        <w:rPr>
          <w:sz w:val="24"/>
          <w:szCs w:val="24"/>
        </w:rPr>
        <w:t>the merits of such a case at the interim stage</w:t>
      </w:r>
      <w:r w:rsidR="00901E03" w:rsidRPr="00DF63F6">
        <w:rPr>
          <w:sz w:val="24"/>
          <w:szCs w:val="24"/>
        </w:rPr>
        <w:t>.</w:t>
      </w:r>
      <w:r w:rsidR="00DF63F6">
        <w:rPr>
          <w:rStyle w:val="FootnoteReference"/>
          <w:sz w:val="24"/>
          <w:szCs w:val="24"/>
        </w:rPr>
        <w:footnoteReference w:id="12"/>
      </w:r>
      <w:r w:rsidR="00901E03" w:rsidRPr="00DF63F6">
        <w:rPr>
          <w:sz w:val="24"/>
          <w:szCs w:val="24"/>
        </w:rPr>
        <w:t xml:space="preserve"> </w:t>
      </w:r>
      <w:r w:rsidR="000B2034" w:rsidRPr="00DF63F6">
        <w:rPr>
          <w:sz w:val="24"/>
          <w:szCs w:val="24"/>
        </w:rPr>
        <w:t xml:space="preserve">The Parliamentary debate on SLAPPs has emphasised the need for early dismissal of claims lacking in merit at as little cost as possible. </w:t>
      </w:r>
      <w:r w:rsidR="00096979" w:rsidRPr="00DF63F6">
        <w:rPr>
          <w:sz w:val="24"/>
          <w:szCs w:val="24"/>
        </w:rPr>
        <w:t xml:space="preserve"> </w:t>
      </w:r>
    </w:p>
    <w:p w14:paraId="6C245BE7" w14:textId="2F732FA7" w:rsidR="008167CD" w:rsidRDefault="00096979" w:rsidP="006203FB">
      <w:pPr>
        <w:pStyle w:val="ListParagraph"/>
        <w:numPr>
          <w:ilvl w:val="0"/>
          <w:numId w:val="1"/>
        </w:numPr>
        <w:spacing w:before="240" w:after="240" w:line="360" w:lineRule="auto"/>
        <w:ind w:left="357" w:hanging="357"/>
        <w:contextualSpacing w:val="0"/>
        <w:rPr>
          <w:sz w:val="24"/>
          <w:szCs w:val="24"/>
        </w:rPr>
      </w:pPr>
      <w:r w:rsidRPr="00DF63F6">
        <w:rPr>
          <w:sz w:val="24"/>
          <w:szCs w:val="24"/>
        </w:rPr>
        <w:t xml:space="preserve">The observations of </w:t>
      </w:r>
      <w:r w:rsidR="000B2034" w:rsidRPr="00DF63F6">
        <w:rPr>
          <w:sz w:val="24"/>
          <w:szCs w:val="24"/>
        </w:rPr>
        <w:t xml:space="preserve"> </w:t>
      </w:r>
      <w:bookmarkStart w:id="6" w:name="_Hlk195184993"/>
      <w:r w:rsidRPr="00DF63F6">
        <w:rPr>
          <w:sz w:val="24"/>
          <w:szCs w:val="24"/>
        </w:rPr>
        <w:t>Warby LJ i</w:t>
      </w:r>
      <w:r w:rsidR="000B2034" w:rsidRPr="00DF63F6">
        <w:rPr>
          <w:sz w:val="24"/>
          <w:szCs w:val="24"/>
        </w:rPr>
        <w:t xml:space="preserve">n </w:t>
      </w:r>
      <w:r w:rsidR="000B2034" w:rsidRPr="00DF63F6">
        <w:rPr>
          <w:i/>
          <w:iCs/>
          <w:sz w:val="24"/>
          <w:szCs w:val="24"/>
        </w:rPr>
        <w:t>Iqbal v Geo TV Ltd</w:t>
      </w:r>
      <w:r w:rsidR="000B2034" w:rsidRPr="00DF63F6">
        <w:rPr>
          <w:sz w:val="24"/>
          <w:szCs w:val="24"/>
        </w:rPr>
        <w:t xml:space="preserve"> [2024] EWCA Civ 1566</w:t>
      </w:r>
      <w:r w:rsidRPr="00DF63F6">
        <w:rPr>
          <w:sz w:val="24"/>
          <w:szCs w:val="24"/>
        </w:rPr>
        <w:t xml:space="preserve"> at [</w:t>
      </w:r>
      <w:r w:rsidR="001713E7">
        <w:rPr>
          <w:sz w:val="24"/>
          <w:szCs w:val="24"/>
        </w:rPr>
        <w:t>29</w:t>
      </w:r>
      <w:r w:rsidRPr="00DF63F6">
        <w:rPr>
          <w:sz w:val="24"/>
          <w:szCs w:val="24"/>
        </w:rPr>
        <w:t>]</w:t>
      </w:r>
      <w:r w:rsidR="001713E7">
        <w:rPr>
          <w:sz w:val="24"/>
          <w:szCs w:val="24"/>
        </w:rPr>
        <w:t>-[31]</w:t>
      </w:r>
      <w:bookmarkEnd w:id="6"/>
      <w:r w:rsidR="001713E7">
        <w:rPr>
          <w:sz w:val="24"/>
          <w:szCs w:val="24"/>
        </w:rPr>
        <w:t xml:space="preserve"> </w:t>
      </w:r>
      <w:r w:rsidRPr="00DF63F6">
        <w:rPr>
          <w:sz w:val="24"/>
          <w:szCs w:val="24"/>
        </w:rPr>
        <w:t xml:space="preserve">are apposite in </w:t>
      </w:r>
      <w:r w:rsidR="00794BC2" w:rsidRPr="00DF63F6">
        <w:rPr>
          <w:sz w:val="24"/>
          <w:szCs w:val="24"/>
        </w:rPr>
        <w:t xml:space="preserve">this </w:t>
      </w:r>
      <w:r w:rsidRPr="00DF63F6">
        <w:rPr>
          <w:sz w:val="24"/>
          <w:szCs w:val="24"/>
        </w:rPr>
        <w:t xml:space="preserve">context. The case </w:t>
      </w:r>
      <w:r w:rsidR="000B2034" w:rsidRPr="00DF63F6">
        <w:rPr>
          <w:sz w:val="24"/>
          <w:szCs w:val="24"/>
        </w:rPr>
        <w:t>involv</w:t>
      </w:r>
      <w:r w:rsidR="008167CD" w:rsidRPr="00DF63F6">
        <w:rPr>
          <w:sz w:val="24"/>
          <w:szCs w:val="24"/>
        </w:rPr>
        <w:t xml:space="preserve">ed a </w:t>
      </w:r>
      <w:r w:rsidR="004B0646" w:rsidRPr="00DF63F6">
        <w:rPr>
          <w:sz w:val="24"/>
          <w:szCs w:val="24"/>
        </w:rPr>
        <w:t xml:space="preserve">successful defendant </w:t>
      </w:r>
      <w:r w:rsidR="008167CD" w:rsidRPr="00DF63F6">
        <w:rPr>
          <w:sz w:val="24"/>
          <w:szCs w:val="24"/>
        </w:rPr>
        <w:t>summary judgment application in relation to statutory qualified privilege</w:t>
      </w:r>
      <w:r w:rsidR="004B0646" w:rsidRPr="00DF63F6">
        <w:rPr>
          <w:sz w:val="24"/>
          <w:szCs w:val="24"/>
        </w:rPr>
        <w:t xml:space="preserve"> and malice</w:t>
      </w:r>
      <w:r w:rsidR="001713E7">
        <w:rPr>
          <w:sz w:val="24"/>
          <w:szCs w:val="24"/>
        </w:rPr>
        <w:t xml:space="preserve"> prior to service of a defence and without a malice plea having been formally advanced.</w:t>
      </w:r>
    </w:p>
    <w:p w14:paraId="2ABEA85F" w14:textId="5DEEC257" w:rsidR="001713E7" w:rsidRPr="001713E7" w:rsidRDefault="001713E7" w:rsidP="001713E7">
      <w:pPr>
        <w:pStyle w:val="ListParagraph"/>
        <w:spacing w:before="240" w:after="240" w:line="360" w:lineRule="auto"/>
        <w:ind w:left="357"/>
        <w:rPr>
          <w:i/>
          <w:iCs/>
          <w:sz w:val="24"/>
          <w:szCs w:val="24"/>
        </w:rPr>
      </w:pPr>
      <w:r w:rsidRPr="001713E7">
        <w:rPr>
          <w:i/>
          <w:iCs/>
          <w:sz w:val="24"/>
          <w:szCs w:val="24"/>
        </w:rPr>
        <w:t>“29.</w:t>
      </w:r>
      <w:r w:rsidRPr="001713E7">
        <w:rPr>
          <w:i/>
          <w:iCs/>
          <w:sz w:val="24"/>
          <w:szCs w:val="24"/>
        </w:rPr>
        <w:tab/>
        <w:t>It is commonplace for the court to be asked to strike out a defamation claim or enter summary judgment for the defendant on the basis that the publication complained of took place on an occasion of qualified privilege and the claimant has no viable case of malice. The court frequently does so</w:t>
      </w:r>
      <w:r>
        <w:rPr>
          <w:i/>
          <w:iCs/>
          <w:sz w:val="24"/>
          <w:szCs w:val="24"/>
        </w:rPr>
        <w:t>…..</w:t>
      </w:r>
    </w:p>
    <w:p w14:paraId="3FAB675B" w14:textId="3C9BB4B5" w:rsidR="001713E7" w:rsidRPr="00DF63F6" w:rsidRDefault="001713E7" w:rsidP="001713E7">
      <w:pPr>
        <w:pStyle w:val="ListParagraph"/>
        <w:spacing w:before="240" w:after="240" w:line="360" w:lineRule="auto"/>
        <w:ind w:left="357"/>
        <w:contextualSpacing w:val="0"/>
        <w:rPr>
          <w:sz w:val="24"/>
          <w:szCs w:val="24"/>
        </w:rPr>
      </w:pPr>
      <w:r w:rsidRPr="001713E7">
        <w:rPr>
          <w:i/>
          <w:iCs/>
          <w:sz w:val="24"/>
          <w:szCs w:val="24"/>
        </w:rPr>
        <w:t>30.</w:t>
      </w:r>
      <w:r w:rsidRPr="001713E7">
        <w:rPr>
          <w:i/>
          <w:iCs/>
          <w:sz w:val="24"/>
          <w:szCs w:val="24"/>
        </w:rPr>
        <w:tab/>
        <w:t xml:space="preserve">This is, in principle, a salutary process. Resolving any case at an early stage saves expense and court time. It can be especially valuable in defamation cases. These involve a clash between the right to a reputation and the fundamental freedom to communicate information and ideas. Notoriously, the costs can swiftly become disproportionate to the issues at stake. Summary determination of such claims reduces the risk that the rights of the claimant or the defendant will be </w:t>
      </w:r>
      <w:r w:rsidRPr="001713E7">
        <w:rPr>
          <w:i/>
          <w:iCs/>
          <w:sz w:val="24"/>
          <w:szCs w:val="24"/>
        </w:rPr>
        <w:lastRenderedPageBreak/>
        <w:t>"chilled" by the costs of litigation and by the same token tends to give effect to the overriding objective.”</w:t>
      </w:r>
    </w:p>
    <w:p w14:paraId="09A045CF" w14:textId="7E52C105" w:rsidR="00660F38" w:rsidRPr="00CA1D37" w:rsidRDefault="00660F38" w:rsidP="00660F38">
      <w:pPr>
        <w:spacing w:before="240" w:after="240" w:line="360" w:lineRule="auto"/>
        <w:rPr>
          <w:sz w:val="24"/>
          <w:szCs w:val="24"/>
          <w:u w:val="single"/>
        </w:rPr>
      </w:pPr>
      <w:bookmarkStart w:id="7" w:name="_Hlk194496651"/>
      <w:r w:rsidRPr="00CA1D37">
        <w:rPr>
          <w:sz w:val="24"/>
          <w:szCs w:val="24"/>
          <w:u w:val="single"/>
        </w:rPr>
        <w:t>The probability test in practice</w:t>
      </w:r>
      <w:bookmarkEnd w:id="7"/>
    </w:p>
    <w:p w14:paraId="16C96109" w14:textId="0075BD61" w:rsidR="00660F38" w:rsidRDefault="00660F38"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There are a number of </w:t>
      </w:r>
      <w:r w:rsidR="006F15F5">
        <w:rPr>
          <w:sz w:val="24"/>
          <w:szCs w:val="24"/>
        </w:rPr>
        <w:t xml:space="preserve">well-established </w:t>
      </w:r>
      <w:r>
        <w:rPr>
          <w:sz w:val="24"/>
          <w:szCs w:val="24"/>
        </w:rPr>
        <w:t xml:space="preserve">principles </w:t>
      </w:r>
      <w:r w:rsidR="006F15F5">
        <w:rPr>
          <w:sz w:val="24"/>
          <w:szCs w:val="24"/>
        </w:rPr>
        <w:t xml:space="preserve">in defamation </w:t>
      </w:r>
      <w:r>
        <w:rPr>
          <w:sz w:val="24"/>
          <w:szCs w:val="24"/>
        </w:rPr>
        <w:t xml:space="preserve">that are consequential on the probability test: </w:t>
      </w:r>
    </w:p>
    <w:p w14:paraId="15B97801" w14:textId="2E151CC2" w:rsidR="00911D80" w:rsidRDefault="00096979" w:rsidP="00794BC2">
      <w:pPr>
        <w:pStyle w:val="ListParagraph"/>
        <w:numPr>
          <w:ilvl w:val="1"/>
          <w:numId w:val="1"/>
        </w:numPr>
        <w:spacing w:before="240" w:after="240" w:line="360" w:lineRule="auto"/>
        <w:contextualSpacing w:val="0"/>
        <w:rPr>
          <w:sz w:val="24"/>
          <w:szCs w:val="24"/>
        </w:rPr>
      </w:pPr>
      <w:r w:rsidRPr="00096979">
        <w:rPr>
          <w:sz w:val="24"/>
          <w:szCs w:val="24"/>
        </w:rPr>
        <w:t>Every primary fact (or omission) relied on by the claimant as evidence of dishonesty must be “</w:t>
      </w:r>
      <w:r w:rsidRPr="00645D6A">
        <w:rPr>
          <w:i/>
          <w:iCs/>
          <w:sz w:val="24"/>
          <w:szCs w:val="24"/>
        </w:rPr>
        <w:t>carefully analysed</w:t>
      </w:r>
      <w:r w:rsidRPr="00096979">
        <w:rPr>
          <w:sz w:val="24"/>
          <w:szCs w:val="24"/>
        </w:rPr>
        <w:t>” from the perspective of whether it is at least equally consistent with an honest belief, even if that belief is unreasonable.</w:t>
      </w:r>
      <w:r w:rsidR="009A6027">
        <w:rPr>
          <w:rStyle w:val="FootnoteReference"/>
          <w:sz w:val="24"/>
          <w:szCs w:val="24"/>
        </w:rPr>
        <w:footnoteReference w:id="13"/>
      </w:r>
      <w:r w:rsidRPr="00096979">
        <w:rPr>
          <w:sz w:val="24"/>
          <w:szCs w:val="24"/>
        </w:rPr>
        <w:t xml:space="preserve">   </w:t>
      </w:r>
    </w:p>
    <w:p w14:paraId="56B730F2" w14:textId="2F966628" w:rsidR="00660F38" w:rsidRDefault="00096979" w:rsidP="00794BC2">
      <w:pPr>
        <w:pStyle w:val="ListParagraph"/>
        <w:numPr>
          <w:ilvl w:val="1"/>
          <w:numId w:val="1"/>
        </w:numPr>
        <w:spacing w:before="240" w:after="240" w:line="360" w:lineRule="auto"/>
        <w:contextualSpacing w:val="0"/>
        <w:rPr>
          <w:sz w:val="24"/>
          <w:szCs w:val="24"/>
        </w:rPr>
      </w:pPr>
      <w:r w:rsidRPr="00096979">
        <w:rPr>
          <w:sz w:val="24"/>
          <w:szCs w:val="24"/>
        </w:rPr>
        <w:t xml:space="preserve">If </w:t>
      </w:r>
      <w:r w:rsidR="00911D80">
        <w:rPr>
          <w:sz w:val="24"/>
          <w:szCs w:val="24"/>
        </w:rPr>
        <w:t xml:space="preserve">a </w:t>
      </w:r>
      <w:r w:rsidRPr="00096979">
        <w:rPr>
          <w:sz w:val="24"/>
          <w:szCs w:val="24"/>
        </w:rPr>
        <w:t>fact is equally consistent with an honest belief and/or “</w:t>
      </w:r>
      <w:r w:rsidRPr="009A6027">
        <w:rPr>
          <w:i/>
          <w:iCs/>
          <w:sz w:val="24"/>
          <w:szCs w:val="24"/>
        </w:rPr>
        <w:t>the result is to leave the matter in doubt</w:t>
      </w:r>
      <w:r w:rsidRPr="00096979">
        <w:rPr>
          <w:sz w:val="24"/>
          <w:szCs w:val="24"/>
        </w:rPr>
        <w:t>”, it cannot as a “</w:t>
      </w:r>
      <w:r w:rsidRPr="009A6027">
        <w:rPr>
          <w:i/>
          <w:iCs/>
          <w:sz w:val="24"/>
          <w:szCs w:val="24"/>
        </w:rPr>
        <w:t>matter of law</w:t>
      </w:r>
      <w:r w:rsidRPr="00096979">
        <w:rPr>
          <w:sz w:val="24"/>
          <w:szCs w:val="24"/>
        </w:rPr>
        <w:t xml:space="preserve">” provide evidence on which the tribunal of fact could find </w:t>
      </w:r>
      <w:r>
        <w:rPr>
          <w:sz w:val="24"/>
          <w:szCs w:val="24"/>
        </w:rPr>
        <w:t>dishonesty</w:t>
      </w:r>
      <w:r w:rsidRPr="00096979">
        <w:rPr>
          <w:sz w:val="24"/>
          <w:szCs w:val="24"/>
        </w:rPr>
        <w:t>.</w:t>
      </w:r>
      <w:r w:rsidR="009A6027">
        <w:rPr>
          <w:rStyle w:val="FootnoteReference"/>
          <w:sz w:val="24"/>
          <w:szCs w:val="24"/>
        </w:rPr>
        <w:footnoteReference w:id="14"/>
      </w:r>
      <w:r w:rsidRPr="00096979">
        <w:rPr>
          <w:sz w:val="24"/>
          <w:szCs w:val="24"/>
        </w:rPr>
        <w:t xml:space="preserve">   </w:t>
      </w:r>
    </w:p>
    <w:p w14:paraId="519F35B6" w14:textId="77777777" w:rsidR="008E1C25" w:rsidRDefault="00096979" w:rsidP="008E1C25">
      <w:pPr>
        <w:pStyle w:val="ListParagraph"/>
        <w:numPr>
          <w:ilvl w:val="1"/>
          <w:numId w:val="1"/>
        </w:numPr>
        <w:spacing w:before="240" w:after="240" w:line="360" w:lineRule="auto"/>
        <w:contextualSpacing w:val="0"/>
        <w:rPr>
          <w:sz w:val="24"/>
          <w:szCs w:val="24"/>
        </w:rPr>
      </w:pPr>
      <w:r w:rsidRPr="00096979">
        <w:rPr>
          <w:sz w:val="24"/>
          <w:szCs w:val="24"/>
        </w:rPr>
        <w:t>Characterising it as a “</w:t>
      </w:r>
      <w:r w:rsidRPr="009A6027">
        <w:rPr>
          <w:i/>
          <w:iCs/>
          <w:sz w:val="24"/>
          <w:szCs w:val="24"/>
        </w:rPr>
        <w:t>matter of law</w:t>
      </w:r>
      <w:r w:rsidRPr="00096979">
        <w:rPr>
          <w:sz w:val="24"/>
          <w:szCs w:val="24"/>
        </w:rPr>
        <w:t xml:space="preserve">” emphasises the duty on the court not to allow the evidence to be taken into account and its </w:t>
      </w:r>
      <w:r w:rsidR="00C50C2C">
        <w:rPr>
          <w:sz w:val="24"/>
          <w:szCs w:val="24"/>
        </w:rPr>
        <w:t xml:space="preserve">greater </w:t>
      </w:r>
      <w:r w:rsidRPr="00096979">
        <w:rPr>
          <w:sz w:val="24"/>
          <w:szCs w:val="24"/>
        </w:rPr>
        <w:t xml:space="preserve">amenability to review on appeal.  </w:t>
      </w:r>
      <w:r w:rsidR="00C50C2C">
        <w:rPr>
          <w:sz w:val="24"/>
          <w:szCs w:val="24"/>
        </w:rPr>
        <w:t>T</w:t>
      </w:r>
      <w:r w:rsidRPr="00096979">
        <w:rPr>
          <w:sz w:val="24"/>
          <w:szCs w:val="24"/>
        </w:rPr>
        <w:t xml:space="preserve">here is only one right answer to the application of the probability </w:t>
      </w:r>
      <w:r w:rsidR="00FD29C3">
        <w:rPr>
          <w:sz w:val="24"/>
          <w:szCs w:val="24"/>
        </w:rPr>
        <w:t xml:space="preserve">test </w:t>
      </w:r>
      <w:r w:rsidRPr="00096979">
        <w:rPr>
          <w:sz w:val="24"/>
          <w:szCs w:val="24"/>
        </w:rPr>
        <w:t>to the relevant facts.</w:t>
      </w:r>
      <w:r w:rsidR="00B3500F">
        <w:rPr>
          <w:sz w:val="24"/>
          <w:szCs w:val="24"/>
        </w:rPr>
        <w:t xml:space="preserve"> </w:t>
      </w:r>
      <w:r w:rsidR="00B3500F">
        <w:rPr>
          <w:i/>
          <w:iCs/>
          <w:sz w:val="24"/>
          <w:szCs w:val="24"/>
        </w:rPr>
        <w:t xml:space="preserve"> </w:t>
      </w:r>
      <w:r w:rsidR="008E1C25">
        <w:rPr>
          <w:sz w:val="24"/>
          <w:szCs w:val="24"/>
        </w:rPr>
        <w:t xml:space="preserve">Failing to apply </w:t>
      </w:r>
      <w:r w:rsidR="00B3500F">
        <w:rPr>
          <w:sz w:val="24"/>
          <w:szCs w:val="24"/>
        </w:rPr>
        <w:t>the probability test is an error of principle requiring the appellate court to determine the right answer.</w:t>
      </w:r>
    </w:p>
    <w:p w14:paraId="5AFDB162" w14:textId="5EA74216" w:rsidR="00660F38" w:rsidRPr="008E1C25" w:rsidRDefault="00660F38" w:rsidP="008E1C25">
      <w:pPr>
        <w:pStyle w:val="ListParagraph"/>
        <w:numPr>
          <w:ilvl w:val="1"/>
          <w:numId w:val="1"/>
        </w:numPr>
        <w:spacing w:before="240" w:after="240" w:line="360" w:lineRule="auto"/>
        <w:contextualSpacing w:val="0"/>
        <w:rPr>
          <w:sz w:val="24"/>
          <w:szCs w:val="24"/>
        </w:rPr>
      </w:pPr>
      <w:r w:rsidRPr="008E1C25">
        <w:rPr>
          <w:sz w:val="24"/>
          <w:szCs w:val="24"/>
        </w:rPr>
        <w:t>If there are a number of facts “</w:t>
      </w:r>
      <w:r w:rsidRPr="008E1C25">
        <w:rPr>
          <w:i/>
          <w:iCs/>
          <w:sz w:val="24"/>
          <w:szCs w:val="24"/>
        </w:rPr>
        <w:t>that leave the matter in doubt</w:t>
      </w:r>
      <w:r w:rsidRPr="008E1C25">
        <w:rPr>
          <w:sz w:val="24"/>
          <w:szCs w:val="24"/>
        </w:rPr>
        <w:t>” the tribunal of fact is not entitled to find dishonesty by adding them together and</w:t>
      </w:r>
      <w:r w:rsidR="008E1C25" w:rsidRPr="008E1C25">
        <w:rPr>
          <w:sz w:val="24"/>
          <w:szCs w:val="24"/>
        </w:rPr>
        <w:t xml:space="preserve"> </w:t>
      </w:r>
      <w:r w:rsidRPr="008E1C25">
        <w:rPr>
          <w:sz w:val="24"/>
          <w:szCs w:val="24"/>
        </w:rPr>
        <w:t>concluding that the total sum is greater than the individual parts.</w:t>
      </w:r>
      <w:r w:rsidR="009A6027">
        <w:rPr>
          <w:rStyle w:val="FootnoteReference"/>
          <w:sz w:val="24"/>
          <w:szCs w:val="24"/>
        </w:rPr>
        <w:footnoteReference w:id="15"/>
      </w:r>
    </w:p>
    <w:p w14:paraId="1CF98B61" w14:textId="2CF21A17" w:rsidR="00660F38" w:rsidRDefault="006F15F5" w:rsidP="00794BC2">
      <w:pPr>
        <w:pStyle w:val="ListParagraph"/>
        <w:numPr>
          <w:ilvl w:val="1"/>
          <w:numId w:val="1"/>
        </w:numPr>
        <w:spacing w:before="240" w:after="240" w:line="360" w:lineRule="auto"/>
        <w:contextualSpacing w:val="0"/>
        <w:rPr>
          <w:sz w:val="24"/>
          <w:szCs w:val="24"/>
        </w:rPr>
      </w:pPr>
      <w:r w:rsidRPr="006F15F5">
        <w:rPr>
          <w:sz w:val="24"/>
          <w:szCs w:val="24"/>
        </w:rPr>
        <w:t xml:space="preserve">If </w:t>
      </w:r>
      <w:r w:rsidR="001A1A57">
        <w:rPr>
          <w:sz w:val="24"/>
          <w:szCs w:val="24"/>
        </w:rPr>
        <w:t xml:space="preserve">any fact satisfies the probability test, the defendant will be obliged to address it and be tested on it in cross-examination. If </w:t>
      </w:r>
      <w:r w:rsidRPr="006F15F5">
        <w:rPr>
          <w:sz w:val="24"/>
          <w:szCs w:val="24"/>
        </w:rPr>
        <w:t xml:space="preserve">none of the </w:t>
      </w:r>
      <w:r>
        <w:rPr>
          <w:sz w:val="24"/>
          <w:szCs w:val="24"/>
        </w:rPr>
        <w:t xml:space="preserve">facts </w:t>
      </w:r>
      <w:r w:rsidRPr="006F15F5">
        <w:rPr>
          <w:sz w:val="24"/>
          <w:szCs w:val="24"/>
        </w:rPr>
        <w:t>satisf</w:t>
      </w:r>
      <w:r>
        <w:rPr>
          <w:sz w:val="24"/>
          <w:szCs w:val="24"/>
        </w:rPr>
        <w:t xml:space="preserve">y </w:t>
      </w:r>
      <w:r w:rsidRPr="006F15F5">
        <w:rPr>
          <w:sz w:val="24"/>
          <w:szCs w:val="24"/>
        </w:rPr>
        <w:t xml:space="preserve">the probability </w:t>
      </w:r>
      <w:r w:rsidR="00FD29C3">
        <w:rPr>
          <w:sz w:val="24"/>
          <w:szCs w:val="24"/>
        </w:rPr>
        <w:t>test</w:t>
      </w:r>
      <w:r w:rsidRPr="006F15F5">
        <w:rPr>
          <w:sz w:val="24"/>
          <w:szCs w:val="24"/>
        </w:rPr>
        <w:t xml:space="preserve">, it is impermissible for the </w:t>
      </w:r>
      <w:r w:rsidR="00FA35BA">
        <w:rPr>
          <w:sz w:val="24"/>
          <w:szCs w:val="24"/>
        </w:rPr>
        <w:t xml:space="preserve">case to continue in the hope of </w:t>
      </w:r>
      <w:r w:rsidR="009A6027">
        <w:rPr>
          <w:sz w:val="24"/>
          <w:szCs w:val="24"/>
        </w:rPr>
        <w:t xml:space="preserve">it improving following </w:t>
      </w:r>
      <w:r w:rsidR="00FA35BA">
        <w:rPr>
          <w:sz w:val="24"/>
          <w:szCs w:val="24"/>
        </w:rPr>
        <w:t xml:space="preserve">disclosure or </w:t>
      </w:r>
      <w:r w:rsidR="009A6027">
        <w:rPr>
          <w:sz w:val="24"/>
          <w:szCs w:val="24"/>
        </w:rPr>
        <w:t xml:space="preserve">by </w:t>
      </w:r>
      <w:r w:rsidRPr="006F15F5">
        <w:rPr>
          <w:sz w:val="24"/>
          <w:szCs w:val="24"/>
        </w:rPr>
        <w:t>subject</w:t>
      </w:r>
      <w:r w:rsidR="009A6027">
        <w:rPr>
          <w:sz w:val="24"/>
          <w:szCs w:val="24"/>
        </w:rPr>
        <w:t xml:space="preserve">ing the defendant </w:t>
      </w:r>
      <w:r w:rsidRPr="006F15F5">
        <w:rPr>
          <w:sz w:val="24"/>
          <w:szCs w:val="24"/>
        </w:rPr>
        <w:t>to cross-examination.</w:t>
      </w:r>
    </w:p>
    <w:p w14:paraId="0FAF12A9" w14:textId="7AFCF911" w:rsidR="00133FDB" w:rsidRDefault="00FF3A42" w:rsidP="00794BC2">
      <w:pPr>
        <w:pStyle w:val="ListParagraph"/>
        <w:numPr>
          <w:ilvl w:val="1"/>
          <w:numId w:val="1"/>
        </w:numPr>
        <w:spacing w:before="240" w:after="240" w:line="360" w:lineRule="auto"/>
        <w:contextualSpacing w:val="0"/>
        <w:rPr>
          <w:sz w:val="24"/>
          <w:szCs w:val="24"/>
        </w:rPr>
      </w:pPr>
      <w:r>
        <w:rPr>
          <w:sz w:val="24"/>
          <w:szCs w:val="24"/>
        </w:rPr>
        <w:lastRenderedPageBreak/>
        <w:t>The probability test prevent</w:t>
      </w:r>
      <w:r w:rsidR="00BD4D86">
        <w:rPr>
          <w:sz w:val="24"/>
          <w:szCs w:val="24"/>
        </w:rPr>
        <w:t xml:space="preserve">s </w:t>
      </w:r>
      <w:r>
        <w:rPr>
          <w:sz w:val="24"/>
          <w:szCs w:val="24"/>
        </w:rPr>
        <w:t xml:space="preserve">drawing </w:t>
      </w:r>
      <w:r w:rsidR="00BD4D86">
        <w:rPr>
          <w:sz w:val="24"/>
          <w:szCs w:val="24"/>
        </w:rPr>
        <w:t xml:space="preserve">an </w:t>
      </w:r>
      <w:r>
        <w:rPr>
          <w:sz w:val="24"/>
          <w:szCs w:val="24"/>
        </w:rPr>
        <w:t xml:space="preserve">inference as to what </w:t>
      </w:r>
      <w:r w:rsidR="0015117A">
        <w:rPr>
          <w:sz w:val="24"/>
          <w:szCs w:val="24"/>
        </w:rPr>
        <w:t xml:space="preserve">a </w:t>
      </w:r>
      <w:r>
        <w:rPr>
          <w:sz w:val="24"/>
          <w:szCs w:val="24"/>
        </w:rPr>
        <w:t xml:space="preserve">defendant actually believed from </w:t>
      </w:r>
      <w:r w:rsidR="008966A7">
        <w:rPr>
          <w:sz w:val="24"/>
          <w:szCs w:val="24"/>
        </w:rPr>
        <w:t>a</w:t>
      </w:r>
      <w:r w:rsidR="00BD4D86">
        <w:rPr>
          <w:sz w:val="24"/>
          <w:szCs w:val="24"/>
        </w:rPr>
        <w:t xml:space="preserve">n </w:t>
      </w:r>
      <w:r w:rsidR="008966A7">
        <w:rPr>
          <w:sz w:val="24"/>
          <w:szCs w:val="24"/>
        </w:rPr>
        <w:t xml:space="preserve">evaluation of what </w:t>
      </w:r>
      <w:r>
        <w:rPr>
          <w:sz w:val="24"/>
          <w:szCs w:val="24"/>
        </w:rPr>
        <w:t>he ought to have realised.  Th</w:t>
      </w:r>
      <w:r w:rsidR="0015117A">
        <w:rPr>
          <w:sz w:val="24"/>
          <w:szCs w:val="24"/>
        </w:rPr>
        <w:t xml:space="preserve">e test </w:t>
      </w:r>
      <w:r w:rsidR="008966A7">
        <w:rPr>
          <w:sz w:val="24"/>
          <w:szCs w:val="24"/>
        </w:rPr>
        <w:t xml:space="preserve">goes </w:t>
      </w:r>
      <w:r w:rsidR="00BD4D86">
        <w:rPr>
          <w:sz w:val="24"/>
          <w:szCs w:val="24"/>
        </w:rPr>
        <w:t xml:space="preserve">directly </w:t>
      </w:r>
      <w:r w:rsidR="008966A7">
        <w:rPr>
          <w:sz w:val="24"/>
          <w:szCs w:val="24"/>
        </w:rPr>
        <w:t>to the relevant primary fact</w:t>
      </w:r>
      <w:r w:rsidR="00BD4D86">
        <w:rPr>
          <w:sz w:val="24"/>
          <w:szCs w:val="24"/>
        </w:rPr>
        <w:t>s</w:t>
      </w:r>
      <w:r w:rsidR="008966A7">
        <w:rPr>
          <w:sz w:val="24"/>
          <w:szCs w:val="24"/>
        </w:rPr>
        <w:t xml:space="preserve"> and </w:t>
      </w:r>
      <w:r w:rsidR="00BD4D86">
        <w:rPr>
          <w:sz w:val="24"/>
          <w:szCs w:val="24"/>
        </w:rPr>
        <w:t xml:space="preserve">simply </w:t>
      </w:r>
      <w:r w:rsidR="008966A7">
        <w:rPr>
          <w:sz w:val="24"/>
          <w:szCs w:val="24"/>
        </w:rPr>
        <w:t>ask</w:t>
      </w:r>
      <w:r w:rsidR="00BD4D86">
        <w:rPr>
          <w:sz w:val="24"/>
          <w:szCs w:val="24"/>
        </w:rPr>
        <w:t xml:space="preserve">s whether they are more consistent with the defendant not believing what he </w:t>
      </w:r>
      <w:r w:rsidR="00FD29C3">
        <w:rPr>
          <w:sz w:val="24"/>
          <w:szCs w:val="24"/>
        </w:rPr>
        <w:t xml:space="preserve">had </w:t>
      </w:r>
      <w:r w:rsidR="00BD4D86">
        <w:rPr>
          <w:sz w:val="24"/>
          <w:szCs w:val="24"/>
        </w:rPr>
        <w:t xml:space="preserve">said, than believing it.  The insertion of an intermediary </w:t>
      </w:r>
      <w:r w:rsidR="00133FDB">
        <w:rPr>
          <w:sz w:val="24"/>
          <w:szCs w:val="24"/>
        </w:rPr>
        <w:t xml:space="preserve">evaluation </w:t>
      </w:r>
      <w:r w:rsidR="00BD4D86">
        <w:rPr>
          <w:sz w:val="24"/>
          <w:szCs w:val="24"/>
        </w:rPr>
        <w:t>as to what the defendant ought to have realised from the facts is unnecessary</w:t>
      </w:r>
      <w:r w:rsidR="00133FDB">
        <w:rPr>
          <w:sz w:val="24"/>
          <w:szCs w:val="24"/>
        </w:rPr>
        <w:t xml:space="preserve">. Further, if the </w:t>
      </w:r>
      <w:r w:rsidR="009C2EA4">
        <w:rPr>
          <w:sz w:val="24"/>
          <w:szCs w:val="24"/>
        </w:rPr>
        <w:t xml:space="preserve">inferential jump to dishonesty </w:t>
      </w:r>
      <w:r w:rsidR="00192A8D">
        <w:rPr>
          <w:sz w:val="24"/>
          <w:szCs w:val="24"/>
        </w:rPr>
        <w:t xml:space="preserve">could </w:t>
      </w:r>
      <w:r w:rsidR="009C2EA4">
        <w:rPr>
          <w:sz w:val="24"/>
          <w:szCs w:val="24"/>
        </w:rPr>
        <w:t xml:space="preserve">be made from such an evaluation on a </w:t>
      </w:r>
      <w:r w:rsidR="00133FDB">
        <w:rPr>
          <w:sz w:val="24"/>
          <w:szCs w:val="24"/>
        </w:rPr>
        <w:t>properly arguable / non-pervers</w:t>
      </w:r>
      <w:r w:rsidR="009C2EA4">
        <w:rPr>
          <w:sz w:val="24"/>
          <w:szCs w:val="24"/>
        </w:rPr>
        <w:t xml:space="preserve">e basis </w:t>
      </w:r>
      <w:r w:rsidR="00133FDB">
        <w:rPr>
          <w:sz w:val="24"/>
          <w:szCs w:val="24"/>
        </w:rPr>
        <w:t xml:space="preserve">it </w:t>
      </w:r>
      <w:r w:rsidR="00192A8D">
        <w:rPr>
          <w:sz w:val="24"/>
          <w:szCs w:val="24"/>
        </w:rPr>
        <w:t>would be</w:t>
      </w:r>
      <w:r w:rsidR="00133FDB">
        <w:rPr>
          <w:sz w:val="24"/>
          <w:szCs w:val="24"/>
        </w:rPr>
        <w:t xml:space="preserve"> </w:t>
      </w:r>
      <w:r w:rsidR="00192A8D">
        <w:rPr>
          <w:sz w:val="24"/>
          <w:szCs w:val="24"/>
        </w:rPr>
        <w:t xml:space="preserve">extremely difficult for </w:t>
      </w:r>
      <w:r w:rsidR="008C09EB">
        <w:rPr>
          <w:sz w:val="24"/>
          <w:szCs w:val="24"/>
        </w:rPr>
        <w:t xml:space="preserve">any </w:t>
      </w:r>
      <w:r w:rsidR="00133FDB">
        <w:rPr>
          <w:sz w:val="24"/>
          <w:szCs w:val="24"/>
        </w:rPr>
        <w:t xml:space="preserve">dishonesty case </w:t>
      </w:r>
      <w:r w:rsidR="00192A8D">
        <w:rPr>
          <w:sz w:val="24"/>
          <w:szCs w:val="24"/>
        </w:rPr>
        <w:t xml:space="preserve">to be </w:t>
      </w:r>
      <w:r w:rsidR="00133FDB">
        <w:rPr>
          <w:sz w:val="24"/>
          <w:szCs w:val="24"/>
        </w:rPr>
        <w:t>dismissed at the interim stage</w:t>
      </w:r>
      <w:r w:rsidR="00192A8D">
        <w:rPr>
          <w:sz w:val="24"/>
          <w:szCs w:val="24"/>
        </w:rPr>
        <w:t xml:space="preserve">. </w:t>
      </w:r>
    </w:p>
    <w:p w14:paraId="55EC0307" w14:textId="73DA6099" w:rsidR="00A02BD9" w:rsidRDefault="00A02BD9" w:rsidP="00794BC2">
      <w:pPr>
        <w:pStyle w:val="ListParagraph"/>
        <w:numPr>
          <w:ilvl w:val="1"/>
          <w:numId w:val="1"/>
        </w:numPr>
        <w:spacing w:before="240" w:after="240" w:line="360" w:lineRule="auto"/>
        <w:contextualSpacing w:val="0"/>
        <w:rPr>
          <w:sz w:val="24"/>
          <w:szCs w:val="24"/>
        </w:rPr>
      </w:pPr>
      <w:r>
        <w:rPr>
          <w:sz w:val="24"/>
          <w:szCs w:val="24"/>
        </w:rPr>
        <w:t xml:space="preserve">If a </w:t>
      </w:r>
      <w:r w:rsidR="003B7B51">
        <w:rPr>
          <w:sz w:val="24"/>
          <w:szCs w:val="24"/>
        </w:rPr>
        <w:t xml:space="preserve">fact known </w:t>
      </w:r>
      <w:r w:rsidR="007F09F8">
        <w:rPr>
          <w:sz w:val="24"/>
          <w:szCs w:val="24"/>
        </w:rPr>
        <w:t xml:space="preserve">to a defendant shows a </w:t>
      </w:r>
      <w:r>
        <w:rPr>
          <w:sz w:val="24"/>
          <w:szCs w:val="24"/>
        </w:rPr>
        <w:t xml:space="preserve">belief </w:t>
      </w:r>
      <w:r w:rsidR="007F09F8">
        <w:rPr>
          <w:sz w:val="24"/>
          <w:szCs w:val="24"/>
        </w:rPr>
        <w:t xml:space="preserve">to be </w:t>
      </w:r>
      <w:r>
        <w:rPr>
          <w:sz w:val="24"/>
          <w:szCs w:val="24"/>
        </w:rPr>
        <w:t xml:space="preserve">so unreasonable as to be absurd, it </w:t>
      </w:r>
      <w:r w:rsidR="007F09F8">
        <w:rPr>
          <w:sz w:val="24"/>
          <w:szCs w:val="24"/>
        </w:rPr>
        <w:t xml:space="preserve">may </w:t>
      </w:r>
      <w:r>
        <w:rPr>
          <w:sz w:val="24"/>
          <w:szCs w:val="24"/>
        </w:rPr>
        <w:t xml:space="preserve">raise the probability that the defendant did not hold </w:t>
      </w:r>
      <w:r w:rsidR="007F09F8">
        <w:rPr>
          <w:sz w:val="24"/>
          <w:szCs w:val="24"/>
        </w:rPr>
        <w:t>the belief</w:t>
      </w:r>
      <w:r>
        <w:rPr>
          <w:sz w:val="24"/>
          <w:szCs w:val="24"/>
        </w:rPr>
        <w:t>.</w:t>
      </w:r>
      <w:r>
        <w:rPr>
          <w:rStyle w:val="FootnoteReference"/>
          <w:sz w:val="24"/>
          <w:szCs w:val="24"/>
        </w:rPr>
        <w:footnoteReference w:id="16"/>
      </w:r>
      <w:r>
        <w:rPr>
          <w:sz w:val="24"/>
          <w:szCs w:val="24"/>
        </w:rPr>
        <w:t xml:space="preserve"> If so, there would have to be a specific recognition of the possibilty of error and a finding that the probability test was satisfied, notwithstanding.</w:t>
      </w:r>
    </w:p>
    <w:p w14:paraId="4197353D" w14:textId="0EEB036D" w:rsidR="004E58EA" w:rsidRDefault="004E58EA" w:rsidP="00EA34F2">
      <w:pPr>
        <w:pStyle w:val="ListParagraph"/>
        <w:numPr>
          <w:ilvl w:val="0"/>
          <w:numId w:val="1"/>
        </w:numPr>
        <w:spacing w:before="240" w:after="240" w:line="360" w:lineRule="auto"/>
        <w:ind w:left="357" w:hanging="357"/>
        <w:contextualSpacing w:val="0"/>
        <w:rPr>
          <w:sz w:val="24"/>
          <w:szCs w:val="24"/>
        </w:rPr>
      </w:pPr>
      <w:r w:rsidRPr="004E58EA">
        <w:rPr>
          <w:sz w:val="24"/>
          <w:szCs w:val="24"/>
        </w:rPr>
        <w:t>There are numerous statements from distinguished judges over many years to the effect that findings of malice are exceptional</w:t>
      </w:r>
      <w:r w:rsidR="00192A8D">
        <w:rPr>
          <w:sz w:val="24"/>
          <w:szCs w:val="24"/>
        </w:rPr>
        <w:t xml:space="preserve"> </w:t>
      </w:r>
      <w:r w:rsidRPr="004E58EA">
        <w:rPr>
          <w:sz w:val="24"/>
          <w:szCs w:val="24"/>
        </w:rPr>
        <w:t xml:space="preserve">and/or that </w:t>
      </w:r>
      <w:r w:rsidR="00256A05">
        <w:rPr>
          <w:sz w:val="24"/>
          <w:szCs w:val="24"/>
        </w:rPr>
        <w:t>such cases are frequently struck out</w:t>
      </w:r>
      <w:r w:rsidRPr="004E58EA">
        <w:rPr>
          <w:sz w:val="24"/>
          <w:szCs w:val="24"/>
        </w:rPr>
        <w:t>.</w:t>
      </w:r>
      <w:r w:rsidR="00645D6A">
        <w:rPr>
          <w:rStyle w:val="FootnoteReference"/>
          <w:sz w:val="24"/>
          <w:szCs w:val="24"/>
        </w:rPr>
        <w:footnoteReference w:id="17"/>
      </w:r>
      <w:r w:rsidRPr="004E58EA">
        <w:rPr>
          <w:sz w:val="24"/>
          <w:szCs w:val="24"/>
        </w:rPr>
        <w:t xml:space="preserve">   </w:t>
      </w:r>
      <w:r w:rsidR="00ED08B6">
        <w:rPr>
          <w:sz w:val="24"/>
          <w:szCs w:val="24"/>
        </w:rPr>
        <w:t>T</w:t>
      </w:r>
      <w:r w:rsidRPr="004E58EA">
        <w:rPr>
          <w:sz w:val="24"/>
          <w:szCs w:val="24"/>
        </w:rPr>
        <w:t xml:space="preserve">hey </w:t>
      </w:r>
      <w:r w:rsidR="00ED08B6">
        <w:rPr>
          <w:sz w:val="24"/>
          <w:szCs w:val="24"/>
        </w:rPr>
        <w:t xml:space="preserve">are a </w:t>
      </w:r>
      <w:r w:rsidRPr="004E58EA">
        <w:rPr>
          <w:sz w:val="24"/>
          <w:szCs w:val="24"/>
        </w:rPr>
        <w:t>reflect</w:t>
      </w:r>
      <w:r w:rsidR="00ED08B6">
        <w:rPr>
          <w:sz w:val="24"/>
          <w:szCs w:val="24"/>
        </w:rPr>
        <w:t xml:space="preserve">ion of </w:t>
      </w:r>
      <w:r w:rsidRPr="004E58EA">
        <w:rPr>
          <w:sz w:val="24"/>
          <w:szCs w:val="24"/>
        </w:rPr>
        <w:t xml:space="preserve">the principles referred to above.  </w:t>
      </w:r>
    </w:p>
    <w:p w14:paraId="44D1B4AC" w14:textId="748CFBCE" w:rsidR="00A369C7" w:rsidRPr="00CA1D37" w:rsidRDefault="00A369C7" w:rsidP="00A369C7">
      <w:pPr>
        <w:spacing w:before="240" w:after="240" w:line="360" w:lineRule="auto"/>
        <w:rPr>
          <w:sz w:val="24"/>
          <w:szCs w:val="24"/>
          <w:u w:val="single"/>
        </w:rPr>
      </w:pPr>
      <w:bookmarkStart w:id="8" w:name="_Hlk194496673"/>
      <w:bookmarkEnd w:id="3"/>
      <w:r w:rsidRPr="00CA1D37">
        <w:rPr>
          <w:sz w:val="24"/>
          <w:szCs w:val="24"/>
          <w:u w:val="single"/>
        </w:rPr>
        <w:t xml:space="preserve">S.3(5) in cases involving the interpretation of </w:t>
      </w:r>
      <w:r w:rsidR="00837496" w:rsidRPr="00CA1D37">
        <w:rPr>
          <w:sz w:val="24"/>
          <w:szCs w:val="24"/>
          <w:u w:val="single"/>
        </w:rPr>
        <w:t xml:space="preserve">a </w:t>
      </w:r>
      <w:r w:rsidRPr="00CA1D37">
        <w:rPr>
          <w:sz w:val="24"/>
          <w:szCs w:val="24"/>
          <w:u w:val="single"/>
        </w:rPr>
        <w:t>claimant’s words</w:t>
      </w:r>
      <w:bookmarkEnd w:id="8"/>
    </w:p>
    <w:p w14:paraId="2486C485" w14:textId="39913F4D" w:rsidR="00501647" w:rsidRDefault="00837496" w:rsidP="00CB0DD7">
      <w:pPr>
        <w:pStyle w:val="ListParagraph"/>
        <w:numPr>
          <w:ilvl w:val="0"/>
          <w:numId w:val="1"/>
        </w:numPr>
        <w:spacing w:before="240" w:after="240" w:line="360" w:lineRule="auto"/>
        <w:ind w:left="357" w:hanging="357"/>
        <w:contextualSpacing w:val="0"/>
        <w:rPr>
          <w:sz w:val="24"/>
          <w:szCs w:val="24"/>
        </w:rPr>
      </w:pPr>
      <w:r w:rsidRPr="00501647">
        <w:rPr>
          <w:sz w:val="24"/>
          <w:szCs w:val="24"/>
        </w:rPr>
        <w:t>Lord Phillips</w:t>
      </w:r>
      <w:r w:rsidR="00AF138A">
        <w:rPr>
          <w:sz w:val="24"/>
          <w:szCs w:val="24"/>
        </w:rPr>
        <w:t>’</w:t>
      </w:r>
      <w:r w:rsidRPr="00501647">
        <w:rPr>
          <w:sz w:val="24"/>
          <w:szCs w:val="24"/>
        </w:rPr>
        <w:t xml:space="preserve"> question - </w:t>
      </w:r>
      <w:r w:rsidRPr="00501647">
        <w:rPr>
          <w:i/>
          <w:iCs/>
          <w:sz w:val="24"/>
          <w:szCs w:val="24"/>
        </w:rPr>
        <w:t xml:space="preserve">how can he set about proving that the defendant did not believe what he said? </w:t>
      </w:r>
      <w:r w:rsidRPr="00501647">
        <w:rPr>
          <w:sz w:val="24"/>
          <w:szCs w:val="24"/>
        </w:rPr>
        <w:t xml:space="preserve">– is particularly apposite in cases </w:t>
      </w:r>
      <w:r w:rsidR="00F95DF9" w:rsidRPr="00501647">
        <w:rPr>
          <w:sz w:val="24"/>
          <w:szCs w:val="24"/>
        </w:rPr>
        <w:t xml:space="preserve">where the only fact relevant to s.3(4) are the </w:t>
      </w:r>
      <w:r w:rsidRPr="00501647">
        <w:rPr>
          <w:sz w:val="24"/>
          <w:szCs w:val="24"/>
        </w:rPr>
        <w:t xml:space="preserve">claimant’s words.  S.3(5) only </w:t>
      </w:r>
      <w:r w:rsidR="00F95DF9" w:rsidRPr="00501647">
        <w:rPr>
          <w:sz w:val="24"/>
          <w:szCs w:val="24"/>
        </w:rPr>
        <w:t xml:space="preserve">arises where the </w:t>
      </w:r>
      <w:r w:rsidRPr="00501647">
        <w:rPr>
          <w:sz w:val="24"/>
          <w:szCs w:val="24"/>
        </w:rPr>
        <w:t xml:space="preserve">statement complained </w:t>
      </w:r>
      <w:r w:rsidR="009C2EA4">
        <w:rPr>
          <w:sz w:val="24"/>
          <w:szCs w:val="24"/>
        </w:rPr>
        <w:t xml:space="preserve">of </w:t>
      </w:r>
      <w:r w:rsidRPr="00501647">
        <w:rPr>
          <w:sz w:val="24"/>
          <w:szCs w:val="24"/>
        </w:rPr>
        <w:t xml:space="preserve">is recognisable as the defendant’s interpretation of the words (and not the words actually used) and an honest person could interpret them </w:t>
      </w:r>
      <w:r w:rsidR="00F95DF9" w:rsidRPr="00501647">
        <w:rPr>
          <w:sz w:val="24"/>
          <w:szCs w:val="24"/>
        </w:rPr>
        <w:t>i</w:t>
      </w:r>
      <w:r w:rsidRPr="00501647">
        <w:rPr>
          <w:sz w:val="24"/>
          <w:szCs w:val="24"/>
        </w:rPr>
        <w:t>n this way.  T</w:t>
      </w:r>
      <w:r w:rsidR="00B611D9" w:rsidRPr="00501647">
        <w:rPr>
          <w:sz w:val="24"/>
          <w:szCs w:val="24"/>
        </w:rPr>
        <w:t xml:space="preserve">o adapt Lord Phillips’ question: </w:t>
      </w:r>
      <w:r w:rsidRPr="00501647">
        <w:rPr>
          <w:sz w:val="24"/>
          <w:szCs w:val="24"/>
        </w:rPr>
        <w:t>how</w:t>
      </w:r>
      <w:r w:rsidR="00B611D9" w:rsidRPr="00501647">
        <w:rPr>
          <w:sz w:val="24"/>
          <w:szCs w:val="24"/>
        </w:rPr>
        <w:t xml:space="preserve"> c</w:t>
      </w:r>
      <w:r w:rsidR="00256A05">
        <w:rPr>
          <w:sz w:val="24"/>
          <w:szCs w:val="24"/>
        </w:rPr>
        <w:t>an</w:t>
      </w:r>
      <w:r w:rsidR="00B611D9" w:rsidRPr="00501647">
        <w:rPr>
          <w:sz w:val="24"/>
          <w:szCs w:val="24"/>
        </w:rPr>
        <w:t xml:space="preserve"> the </w:t>
      </w:r>
      <w:r w:rsidRPr="00501647">
        <w:rPr>
          <w:sz w:val="24"/>
          <w:szCs w:val="24"/>
        </w:rPr>
        <w:t xml:space="preserve">words used </w:t>
      </w:r>
      <w:r w:rsidR="00B611D9" w:rsidRPr="00501647">
        <w:rPr>
          <w:sz w:val="24"/>
          <w:szCs w:val="24"/>
        </w:rPr>
        <w:t xml:space="preserve">by the claimant </w:t>
      </w:r>
      <w:r w:rsidRPr="00501647">
        <w:rPr>
          <w:sz w:val="24"/>
          <w:szCs w:val="24"/>
        </w:rPr>
        <w:t xml:space="preserve">give rise to the probability that the defendant </w:t>
      </w:r>
      <w:r w:rsidR="00256A05">
        <w:rPr>
          <w:sz w:val="24"/>
          <w:szCs w:val="24"/>
        </w:rPr>
        <w:t xml:space="preserve">did </w:t>
      </w:r>
      <w:r w:rsidRPr="00501647">
        <w:rPr>
          <w:sz w:val="24"/>
          <w:szCs w:val="24"/>
        </w:rPr>
        <w:t xml:space="preserve">not believe </w:t>
      </w:r>
      <w:r w:rsidR="00B611D9" w:rsidRPr="00501647">
        <w:rPr>
          <w:sz w:val="24"/>
          <w:szCs w:val="24"/>
        </w:rPr>
        <w:t xml:space="preserve">his stated </w:t>
      </w:r>
      <w:r w:rsidRPr="00501647">
        <w:rPr>
          <w:sz w:val="24"/>
          <w:szCs w:val="24"/>
        </w:rPr>
        <w:t>interpretation</w:t>
      </w:r>
      <w:r w:rsidR="00B611D9" w:rsidRPr="00501647">
        <w:rPr>
          <w:sz w:val="24"/>
          <w:szCs w:val="24"/>
        </w:rPr>
        <w:t xml:space="preserve"> of them</w:t>
      </w:r>
      <w:r w:rsidRPr="00501647">
        <w:rPr>
          <w:sz w:val="24"/>
          <w:szCs w:val="24"/>
        </w:rPr>
        <w:t xml:space="preserve">? </w:t>
      </w:r>
    </w:p>
    <w:p w14:paraId="6D25B183" w14:textId="5146CF2D" w:rsidR="00216F8F" w:rsidRPr="00501647" w:rsidRDefault="00216F8F" w:rsidP="00CB0DD7">
      <w:pPr>
        <w:pStyle w:val="ListParagraph"/>
        <w:numPr>
          <w:ilvl w:val="0"/>
          <w:numId w:val="1"/>
        </w:numPr>
        <w:spacing w:before="240" w:after="240" w:line="360" w:lineRule="auto"/>
        <w:ind w:left="357" w:hanging="357"/>
        <w:contextualSpacing w:val="0"/>
        <w:rPr>
          <w:sz w:val="24"/>
          <w:szCs w:val="24"/>
        </w:rPr>
      </w:pPr>
      <w:r w:rsidRPr="00501647">
        <w:rPr>
          <w:sz w:val="24"/>
          <w:szCs w:val="24"/>
        </w:rPr>
        <w:t xml:space="preserve">There is no previous case which hints at a positive answer. There are two </w:t>
      </w:r>
      <w:r w:rsidR="00794BC2" w:rsidRPr="00501647">
        <w:rPr>
          <w:sz w:val="24"/>
          <w:szCs w:val="24"/>
        </w:rPr>
        <w:t xml:space="preserve">cases </w:t>
      </w:r>
      <w:r w:rsidR="00205488" w:rsidRPr="00501647">
        <w:rPr>
          <w:sz w:val="24"/>
          <w:szCs w:val="24"/>
        </w:rPr>
        <w:t>that illustrate the difficulty</w:t>
      </w:r>
      <w:r w:rsidR="00631397" w:rsidRPr="00501647">
        <w:rPr>
          <w:sz w:val="24"/>
          <w:szCs w:val="24"/>
        </w:rPr>
        <w:t xml:space="preserve"> in practice</w:t>
      </w:r>
      <w:r w:rsidR="00205488" w:rsidRPr="00501647">
        <w:rPr>
          <w:sz w:val="24"/>
          <w:szCs w:val="24"/>
        </w:rPr>
        <w:t xml:space="preserve">. </w:t>
      </w:r>
    </w:p>
    <w:p w14:paraId="4F7CB8EF" w14:textId="170AFDA7" w:rsidR="00794BC2" w:rsidRDefault="00375AFB" w:rsidP="00CB0DD7">
      <w:pPr>
        <w:pStyle w:val="ListParagraph"/>
        <w:numPr>
          <w:ilvl w:val="0"/>
          <w:numId w:val="1"/>
        </w:numPr>
        <w:spacing w:before="240" w:after="240" w:line="360" w:lineRule="auto"/>
        <w:ind w:left="357" w:hanging="357"/>
        <w:contextualSpacing w:val="0"/>
        <w:rPr>
          <w:sz w:val="24"/>
          <w:szCs w:val="24"/>
        </w:rPr>
      </w:pPr>
      <w:r w:rsidRPr="00B63B58">
        <w:rPr>
          <w:sz w:val="24"/>
          <w:szCs w:val="24"/>
        </w:rPr>
        <w:lastRenderedPageBreak/>
        <w:t xml:space="preserve">In </w:t>
      </w:r>
      <w:r w:rsidR="00216F8F" w:rsidRPr="00B63B58">
        <w:rPr>
          <w:i/>
          <w:iCs/>
          <w:sz w:val="24"/>
          <w:szCs w:val="24"/>
        </w:rPr>
        <w:t>Telnikoff v Matusevich</w:t>
      </w:r>
      <w:r w:rsidR="00216F8F" w:rsidRPr="00B63B58">
        <w:rPr>
          <w:sz w:val="24"/>
          <w:szCs w:val="24"/>
        </w:rPr>
        <w:t xml:space="preserve"> [1992] 2 AC 343</w:t>
      </w:r>
      <w:r w:rsidR="00086F40" w:rsidRPr="00B63B58">
        <w:rPr>
          <w:sz w:val="24"/>
          <w:szCs w:val="24"/>
        </w:rPr>
        <w:t xml:space="preserve"> </w:t>
      </w:r>
      <w:r w:rsidRPr="00B63B58">
        <w:rPr>
          <w:sz w:val="24"/>
          <w:szCs w:val="24"/>
        </w:rPr>
        <w:t xml:space="preserve">the </w:t>
      </w:r>
      <w:r w:rsidR="00086F40" w:rsidRPr="00B63B58">
        <w:rPr>
          <w:sz w:val="24"/>
          <w:szCs w:val="24"/>
        </w:rPr>
        <w:t xml:space="preserve">defendant’s letter </w:t>
      </w:r>
      <w:r w:rsidR="00897AD0" w:rsidRPr="00B63B58">
        <w:rPr>
          <w:sz w:val="24"/>
          <w:szCs w:val="24"/>
        </w:rPr>
        <w:t xml:space="preserve">purported to </w:t>
      </w:r>
      <w:r w:rsidRPr="00B63B58">
        <w:rPr>
          <w:sz w:val="24"/>
          <w:szCs w:val="24"/>
        </w:rPr>
        <w:t xml:space="preserve">set out </w:t>
      </w:r>
      <w:r w:rsidR="00897AD0" w:rsidRPr="00B63B58">
        <w:rPr>
          <w:sz w:val="24"/>
          <w:szCs w:val="24"/>
        </w:rPr>
        <w:t xml:space="preserve">what the </w:t>
      </w:r>
      <w:r w:rsidRPr="00B63B58">
        <w:rPr>
          <w:sz w:val="24"/>
          <w:szCs w:val="24"/>
        </w:rPr>
        <w:t xml:space="preserve">plaintiff had written in a </w:t>
      </w:r>
      <w:r w:rsidR="00897AD0" w:rsidRPr="00B63B58">
        <w:rPr>
          <w:sz w:val="24"/>
          <w:szCs w:val="24"/>
        </w:rPr>
        <w:t xml:space="preserve">recent </w:t>
      </w:r>
      <w:r w:rsidR="00086F40" w:rsidRPr="00B63B58">
        <w:rPr>
          <w:sz w:val="24"/>
          <w:szCs w:val="24"/>
        </w:rPr>
        <w:t>article</w:t>
      </w:r>
      <w:r w:rsidR="00897AD0" w:rsidRPr="00B63B58">
        <w:rPr>
          <w:sz w:val="24"/>
          <w:szCs w:val="24"/>
        </w:rPr>
        <w:t xml:space="preserve">.  The </w:t>
      </w:r>
      <w:r w:rsidR="00794BC2">
        <w:rPr>
          <w:sz w:val="24"/>
          <w:szCs w:val="24"/>
        </w:rPr>
        <w:t xml:space="preserve">relevant parts of the letter included: </w:t>
      </w:r>
    </w:p>
    <w:p w14:paraId="541F2DDA" w14:textId="2275DEEF" w:rsidR="00794BC2" w:rsidRPr="00CE7E2F" w:rsidRDefault="00687F36" w:rsidP="00794BC2">
      <w:pPr>
        <w:pStyle w:val="ListParagraph"/>
        <w:spacing w:before="240" w:after="240" w:line="360" w:lineRule="auto"/>
        <w:ind w:left="357"/>
        <w:contextualSpacing w:val="0"/>
        <w:rPr>
          <w:sz w:val="24"/>
          <w:szCs w:val="24"/>
        </w:rPr>
      </w:pPr>
      <w:r w:rsidRPr="00D534BE">
        <w:rPr>
          <w:i/>
          <w:iCs/>
          <w:sz w:val="24"/>
          <w:szCs w:val="24"/>
        </w:rPr>
        <w:t>“Mr. Telnikoff demands that in the interest of more effective broadcasts the management of the B.B.C.'s Russian Service should switch from professional testing to a blood test.  Mr. Telnikoff is …..claiming that no matter how high the standards and integrity 'of ethnically alien' people Russian staff might be, they should be dismissed.”</w:t>
      </w:r>
      <w:r w:rsidR="00CE7E2F">
        <w:rPr>
          <w:i/>
          <w:iCs/>
          <w:sz w:val="24"/>
          <w:szCs w:val="24"/>
        </w:rPr>
        <w:t xml:space="preserve"> </w:t>
      </w:r>
      <w:r w:rsidR="00CE7E2F">
        <w:rPr>
          <w:sz w:val="24"/>
          <w:szCs w:val="24"/>
        </w:rPr>
        <w:t>(350E)</w:t>
      </w:r>
    </w:p>
    <w:p w14:paraId="6BB4996A" w14:textId="069CDBD4" w:rsidR="00086F40" w:rsidRPr="00B63B58" w:rsidRDefault="00794BC2" w:rsidP="00CB0DD7">
      <w:pPr>
        <w:pStyle w:val="ListParagraph"/>
        <w:numPr>
          <w:ilvl w:val="0"/>
          <w:numId w:val="1"/>
        </w:numPr>
        <w:spacing w:before="240" w:after="240" w:line="360" w:lineRule="auto"/>
        <w:ind w:left="357" w:hanging="357"/>
        <w:contextualSpacing w:val="0"/>
        <w:rPr>
          <w:sz w:val="24"/>
          <w:szCs w:val="24"/>
        </w:rPr>
      </w:pPr>
      <w:r>
        <w:rPr>
          <w:sz w:val="24"/>
          <w:szCs w:val="24"/>
        </w:rPr>
        <w:t xml:space="preserve">The </w:t>
      </w:r>
      <w:r w:rsidR="00897AD0" w:rsidRPr="00B63B58">
        <w:rPr>
          <w:sz w:val="24"/>
          <w:szCs w:val="24"/>
        </w:rPr>
        <w:t>issue arose as to whether th</w:t>
      </w:r>
      <w:r w:rsidR="00375AFB" w:rsidRPr="00B63B58">
        <w:rPr>
          <w:sz w:val="24"/>
          <w:szCs w:val="24"/>
        </w:rPr>
        <w:t>e</w:t>
      </w:r>
      <w:r>
        <w:rPr>
          <w:sz w:val="24"/>
          <w:szCs w:val="24"/>
        </w:rPr>
        <w:t xml:space="preserve">se </w:t>
      </w:r>
      <w:r w:rsidR="00375AFB" w:rsidRPr="00B63B58">
        <w:rPr>
          <w:sz w:val="24"/>
          <w:szCs w:val="24"/>
        </w:rPr>
        <w:t xml:space="preserve">statements </w:t>
      </w:r>
      <w:r w:rsidR="00897AD0" w:rsidRPr="00B63B58">
        <w:rPr>
          <w:sz w:val="24"/>
          <w:szCs w:val="24"/>
        </w:rPr>
        <w:t>would be understood to be the plaintiff</w:t>
      </w:r>
      <w:r w:rsidR="00375AFB" w:rsidRPr="00B63B58">
        <w:rPr>
          <w:sz w:val="24"/>
          <w:szCs w:val="24"/>
        </w:rPr>
        <w:t xml:space="preserve">’s </w:t>
      </w:r>
      <w:r w:rsidR="00897AD0" w:rsidRPr="00B63B58">
        <w:rPr>
          <w:sz w:val="24"/>
          <w:szCs w:val="24"/>
        </w:rPr>
        <w:t xml:space="preserve">actual </w:t>
      </w:r>
      <w:r w:rsidR="00375AFB" w:rsidRPr="00B63B58">
        <w:rPr>
          <w:sz w:val="24"/>
          <w:szCs w:val="24"/>
        </w:rPr>
        <w:t xml:space="preserve">words </w:t>
      </w:r>
      <w:r w:rsidR="00897AD0" w:rsidRPr="00B63B58">
        <w:rPr>
          <w:sz w:val="24"/>
          <w:szCs w:val="24"/>
        </w:rPr>
        <w:t xml:space="preserve">or the defendant’s interpretation of </w:t>
      </w:r>
      <w:r w:rsidR="00375AFB" w:rsidRPr="00B63B58">
        <w:rPr>
          <w:sz w:val="24"/>
          <w:szCs w:val="24"/>
        </w:rPr>
        <w:t>them</w:t>
      </w:r>
      <w:r w:rsidR="00897AD0" w:rsidRPr="00B63B58">
        <w:rPr>
          <w:sz w:val="24"/>
          <w:szCs w:val="24"/>
        </w:rPr>
        <w:t xml:space="preserve">.  </w:t>
      </w:r>
      <w:r w:rsidR="00375AFB" w:rsidRPr="00B63B58">
        <w:rPr>
          <w:sz w:val="24"/>
          <w:szCs w:val="24"/>
        </w:rPr>
        <w:t xml:space="preserve">The case is best known for the House of Lords’ majority finding that this had to be determined by looking at the letter in isolation </w:t>
      </w:r>
      <w:r w:rsidR="004A2FCF" w:rsidRPr="00B63B58">
        <w:rPr>
          <w:sz w:val="24"/>
          <w:szCs w:val="24"/>
        </w:rPr>
        <w:t xml:space="preserve">from the article </w:t>
      </w:r>
      <w:r w:rsidR="00375AFB" w:rsidRPr="00B63B58">
        <w:rPr>
          <w:sz w:val="24"/>
          <w:szCs w:val="24"/>
        </w:rPr>
        <w:t xml:space="preserve">and accordingly, the letter was capable of being understood </w:t>
      </w:r>
      <w:r>
        <w:rPr>
          <w:sz w:val="24"/>
          <w:szCs w:val="24"/>
        </w:rPr>
        <w:t xml:space="preserve">as </w:t>
      </w:r>
      <w:r w:rsidR="00375AFB" w:rsidRPr="00B63B58">
        <w:rPr>
          <w:sz w:val="24"/>
          <w:szCs w:val="24"/>
        </w:rPr>
        <w:t xml:space="preserve">making factual </w:t>
      </w:r>
      <w:r w:rsidR="00B611D9">
        <w:rPr>
          <w:sz w:val="24"/>
          <w:szCs w:val="24"/>
        </w:rPr>
        <w:t>(mis)</w:t>
      </w:r>
      <w:r w:rsidR="00375AFB" w:rsidRPr="00B63B58">
        <w:rPr>
          <w:sz w:val="24"/>
          <w:szCs w:val="24"/>
        </w:rPr>
        <w:t xml:space="preserve">statements about what the plaintiff had </w:t>
      </w:r>
      <w:r w:rsidR="00256A05">
        <w:rPr>
          <w:sz w:val="24"/>
          <w:szCs w:val="24"/>
        </w:rPr>
        <w:t>written</w:t>
      </w:r>
      <w:r w:rsidR="00375AFB" w:rsidRPr="00B63B58">
        <w:rPr>
          <w:sz w:val="24"/>
          <w:szCs w:val="24"/>
        </w:rPr>
        <w:t>.  T</w:t>
      </w:r>
      <w:r w:rsidR="006F33A0" w:rsidRPr="00B63B58">
        <w:rPr>
          <w:sz w:val="24"/>
          <w:szCs w:val="24"/>
        </w:rPr>
        <w:t xml:space="preserve">he fair comment defence could </w:t>
      </w:r>
      <w:r>
        <w:rPr>
          <w:sz w:val="24"/>
          <w:szCs w:val="24"/>
        </w:rPr>
        <w:t xml:space="preserve">therefore </w:t>
      </w:r>
      <w:r w:rsidR="006F33A0" w:rsidRPr="00B63B58">
        <w:rPr>
          <w:sz w:val="24"/>
          <w:szCs w:val="24"/>
        </w:rPr>
        <w:t xml:space="preserve">properly fail at the first hurdle i.e. the equivalent of s.3(2).  </w:t>
      </w:r>
    </w:p>
    <w:p w14:paraId="590B9E75" w14:textId="353744FD" w:rsidR="00205488" w:rsidRDefault="00205488"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The relevance of the case to the present appeal </w:t>
      </w:r>
      <w:r w:rsidR="00B611D9">
        <w:rPr>
          <w:sz w:val="24"/>
          <w:szCs w:val="24"/>
        </w:rPr>
        <w:t xml:space="preserve">is </w:t>
      </w:r>
      <w:r>
        <w:rPr>
          <w:sz w:val="24"/>
          <w:szCs w:val="24"/>
        </w:rPr>
        <w:t xml:space="preserve">the </w:t>
      </w:r>
      <w:r w:rsidR="00897AD0">
        <w:rPr>
          <w:sz w:val="24"/>
          <w:szCs w:val="24"/>
        </w:rPr>
        <w:t xml:space="preserve">unanimous </w:t>
      </w:r>
      <w:r>
        <w:rPr>
          <w:sz w:val="24"/>
          <w:szCs w:val="24"/>
        </w:rPr>
        <w:t xml:space="preserve">findings in relation to the other elements of the fair comment defence, equivalent to s.3(4) and s.3(5). First, that </w:t>
      </w:r>
      <w:r w:rsidR="00451269">
        <w:rPr>
          <w:sz w:val="24"/>
          <w:szCs w:val="24"/>
        </w:rPr>
        <w:t xml:space="preserve">an honest person could </w:t>
      </w:r>
      <w:r w:rsidR="004A2FCF">
        <w:rPr>
          <w:sz w:val="24"/>
          <w:szCs w:val="24"/>
        </w:rPr>
        <w:t xml:space="preserve">have </w:t>
      </w:r>
      <w:r w:rsidR="00451269">
        <w:rPr>
          <w:sz w:val="24"/>
          <w:szCs w:val="24"/>
        </w:rPr>
        <w:t>interpret</w:t>
      </w:r>
      <w:r w:rsidR="004A2FCF">
        <w:rPr>
          <w:sz w:val="24"/>
          <w:szCs w:val="24"/>
        </w:rPr>
        <w:t>ed</w:t>
      </w:r>
      <w:r w:rsidR="00451269">
        <w:rPr>
          <w:sz w:val="24"/>
          <w:szCs w:val="24"/>
        </w:rPr>
        <w:t xml:space="preserve"> the article in </w:t>
      </w:r>
      <w:r w:rsidR="004A2FCF">
        <w:rPr>
          <w:sz w:val="24"/>
          <w:szCs w:val="24"/>
        </w:rPr>
        <w:t xml:space="preserve">accordance with the </w:t>
      </w:r>
      <w:r w:rsidR="00687F36">
        <w:rPr>
          <w:sz w:val="24"/>
          <w:szCs w:val="24"/>
        </w:rPr>
        <w:t xml:space="preserve">relevant parts of the </w:t>
      </w:r>
      <w:r w:rsidR="004A2FCF">
        <w:rPr>
          <w:sz w:val="24"/>
          <w:szCs w:val="24"/>
        </w:rPr>
        <w:t>letter (and no reasonable jury could conclude otherwise)</w:t>
      </w:r>
      <w:r w:rsidR="00897AD0">
        <w:rPr>
          <w:sz w:val="24"/>
          <w:szCs w:val="24"/>
        </w:rPr>
        <w:t xml:space="preserve">.  Second, that </w:t>
      </w:r>
      <w:r w:rsidR="006F33A0">
        <w:rPr>
          <w:sz w:val="24"/>
          <w:szCs w:val="24"/>
        </w:rPr>
        <w:t xml:space="preserve">there was no evidence </w:t>
      </w:r>
      <w:r w:rsidR="00451269">
        <w:rPr>
          <w:sz w:val="24"/>
          <w:szCs w:val="24"/>
        </w:rPr>
        <w:t xml:space="preserve">to support a case that the defendant did not do so. </w:t>
      </w:r>
      <w:r w:rsidR="006F33A0">
        <w:rPr>
          <w:sz w:val="24"/>
          <w:szCs w:val="24"/>
        </w:rPr>
        <w:t xml:space="preserve">The analysis of </w:t>
      </w:r>
      <w:r w:rsidR="00451269">
        <w:rPr>
          <w:sz w:val="24"/>
          <w:szCs w:val="24"/>
        </w:rPr>
        <w:t xml:space="preserve">these issues </w:t>
      </w:r>
      <w:r w:rsidR="006F33A0">
        <w:rPr>
          <w:sz w:val="24"/>
          <w:szCs w:val="24"/>
        </w:rPr>
        <w:t>was set out in the judgment of Lloyd LJ</w:t>
      </w:r>
      <w:r w:rsidR="00451269">
        <w:rPr>
          <w:sz w:val="24"/>
          <w:szCs w:val="24"/>
        </w:rPr>
        <w:t xml:space="preserve"> </w:t>
      </w:r>
      <w:r w:rsidR="00CE7E2F">
        <w:rPr>
          <w:sz w:val="24"/>
          <w:szCs w:val="24"/>
        </w:rPr>
        <w:t>in the Court of Appeal with which the House of Lords agreed.</w:t>
      </w:r>
      <w:r w:rsidR="00451269">
        <w:rPr>
          <w:rStyle w:val="FootnoteReference"/>
          <w:sz w:val="24"/>
          <w:szCs w:val="24"/>
        </w:rPr>
        <w:footnoteReference w:id="18"/>
      </w:r>
      <w:r w:rsidR="006F33A0">
        <w:rPr>
          <w:sz w:val="24"/>
          <w:szCs w:val="24"/>
        </w:rPr>
        <w:t xml:space="preserve">  </w:t>
      </w:r>
    </w:p>
    <w:p w14:paraId="71F99276" w14:textId="62178D3C" w:rsidR="006F33A0" w:rsidRDefault="00C320F6" w:rsidP="00EA34F2">
      <w:pPr>
        <w:pStyle w:val="ListParagraph"/>
        <w:numPr>
          <w:ilvl w:val="0"/>
          <w:numId w:val="1"/>
        </w:numPr>
        <w:spacing w:before="240" w:after="240" w:line="360" w:lineRule="auto"/>
        <w:ind w:left="357" w:hanging="357"/>
        <w:contextualSpacing w:val="0"/>
        <w:rPr>
          <w:sz w:val="24"/>
          <w:szCs w:val="24"/>
        </w:rPr>
      </w:pPr>
      <w:r>
        <w:rPr>
          <w:sz w:val="24"/>
          <w:szCs w:val="24"/>
        </w:rPr>
        <w:t>C</w:t>
      </w:r>
      <w:r w:rsidR="00897AD0">
        <w:rPr>
          <w:sz w:val="24"/>
          <w:szCs w:val="24"/>
        </w:rPr>
        <w:t xml:space="preserve">ounsel for </w:t>
      </w:r>
      <w:r w:rsidR="00451269">
        <w:rPr>
          <w:sz w:val="24"/>
          <w:szCs w:val="24"/>
        </w:rPr>
        <w:t xml:space="preserve">the plaintiff </w:t>
      </w:r>
      <w:r w:rsidR="00897AD0">
        <w:rPr>
          <w:sz w:val="24"/>
          <w:szCs w:val="24"/>
        </w:rPr>
        <w:t xml:space="preserve">(Desmond Browne QC) relied </w:t>
      </w:r>
      <w:r w:rsidR="004A2FCF">
        <w:rPr>
          <w:sz w:val="24"/>
          <w:szCs w:val="24"/>
        </w:rPr>
        <w:t xml:space="preserve">exclusively </w:t>
      </w:r>
      <w:r w:rsidR="00897AD0">
        <w:rPr>
          <w:sz w:val="24"/>
          <w:szCs w:val="24"/>
        </w:rPr>
        <w:t xml:space="preserve">on the </w:t>
      </w:r>
      <w:r w:rsidR="004A2FCF">
        <w:rPr>
          <w:sz w:val="24"/>
          <w:szCs w:val="24"/>
        </w:rPr>
        <w:t>misrepresentation</w:t>
      </w:r>
      <w:r w:rsidR="00897AD0">
        <w:rPr>
          <w:sz w:val="24"/>
          <w:szCs w:val="24"/>
        </w:rPr>
        <w:t xml:space="preserve"> of the </w:t>
      </w:r>
      <w:r w:rsidR="00375AFB">
        <w:rPr>
          <w:sz w:val="24"/>
          <w:szCs w:val="24"/>
        </w:rPr>
        <w:t xml:space="preserve">article </w:t>
      </w:r>
      <w:r w:rsidR="004A2FCF">
        <w:rPr>
          <w:sz w:val="24"/>
          <w:szCs w:val="24"/>
        </w:rPr>
        <w:t xml:space="preserve">in relation to the s.3(4) equivalent. </w:t>
      </w:r>
      <w:r>
        <w:rPr>
          <w:sz w:val="24"/>
          <w:szCs w:val="24"/>
        </w:rPr>
        <w:t>H</w:t>
      </w:r>
      <w:r w:rsidR="004A2FCF">
        <w:rPr>
          <w:sz w:val="24"/>
          <w:szCs w:val="24"/>
        </w:rPr>
        <w:t xml:space="preserve">e did not seek to rely on the article at all in relation to the s.3(5) equivalent. </w:t>
      </w:r>
    </w:p>
    <w:p w14:paraId="0242A64D" w14:textId="15539281" w:rsidR="00381871" w:rsidRDefault="004A2FCF" w:rsidP="00CB0DD7">
      <w:pPr>
        <w:pStyle w:val="ListParagraph"/>
        <w:numPr>
          <w:ilvl w:val="0"/>
          <w:numId w:val="1"/>
        </w:numPr>
        <w:spacing w:before="240" w:after="240" w:line="360" w:lineRule="auto"/>
        <w:ind w:left="357" w:hanging="357"/>
        <w:contextualSpacing w:val="0"/>
        <w:rPr>
          <w:sz w:val="24"/>
          <w:szCs w:val="24"/>
        </w:rPr>
      </w:pPr>
      <w:r w:rsidRPr="00381871">
        <w:rPr>
          <w:sz w:val="24"/>
          <w:szCs w:val="24"/>
        </w:rPr>
        <w:t xml:space="preserve">In </w:t>
      </w:r>
      <w:r w:rsidRPr="00381871">
        <w:rPr>
          <w:i/>
          <w:iCs/>
          <w:sz w:val="24"/>
          <w:szCs w:val="24"/>
        </w:rPr>
        <w:t>Riley v Murray</w:t>
      </w:r>
      <w:r w:rsidRPr="00381871">
        <w:rPr>
          <w:sz w:val="24"/>
          <w:szCs w:val="24"/>
        </w:rPr>
        <w:t xml:space="preserve"> [2022] EMLR 8 the </w:t>
      </w:r>
      <w:r w:rsidR="00B63B58" w:rsidRPr="00381871">
        <w:rPr>
          <w:sz w:val="24"/>
          <w:szCs w:val="24"/>
        </w:rPr>
        <w:t>relevant words were: “….</w:t>
      </w:r>
      <w:r w:rsidR="00B63B58" w:rsidRPr="00DD2F0D">
        <w:rPr>
          <w:i/>
          <w:iCs/>
          <w:sz w:val="24"/>
          <w:szCs w:val="24"/>
        </w:rPr>
        <w:t>Rachel Riley tweets that Corbyn deserves to be violently attacked because he is a Nazi. This woman is as dangerous as she is stupid. Nobody should engage with her. Ever.</w:t>
      </w:r>
      <w:r w:rsidR="00B63B58" w:rsidRPr="00381871">
        <w:rPr>
          <w:sz w:val="24"/>
          <w:szCs w:val="24"/>
        </w:rPr>
        <w:t xml:space="preserve">”  The </w:t>
      </w:r>
      <w:r w:rsidRPr="00381871">
        <w:rPr>
          <w:sz w:val="24"/>
          <w:szCs w:val="24"/>
        </w:rPr>
        <w:t xml:space="preserve">s.3 defence </w:t>
      </w:r>
      <w:r w:rsidR="00B63B58" w:rsidRPr="00381871">
        <w:rPr>
          <w:sz w:val="24"/>
          <w:szCs w:val="24"/>
        </w:rPr>
        <w:t xml:space="preserve">to the second and third sentences </w:t>
      </w:r>
      <w:r w:rsidRPr="00381871">
        <w:rPr>
          <w:sz w:val="24"/>
          <w:szCs w:val="24"/>
        </w:rPr>
        <w:t xml:space="preserve">failed </w:t>
      </w:r>
      <w:r w:rsidR="00B63B58" w:rsidRPr="00381871">
        <w:rPr>
          <w:sz w:val="24"/>
          <w:szCs w:val="24"/>
        </w:rPr>
        <w:t xml:space="preserve">because the first sentence would </w:t>
      </w:r>
      <w:r w:rsidR="00B63B58" w:rsidRPr="00381871">
        <w:rPr>
          <w:sz w:val="24"/>
          <w:szCs w:val="24"/>
        </w:rPr>
        <w:lastRenderedPageBreak/>
        <w:t xml:space="preserve">be understood to be a </w:t>
      </w:r>
      <w:r w:rsidR="00B611D9">
        <w:rPr>
          <w:sz w:val="24"/>
          <w:szCs w:val="24"/>
        </w:rPr>
        <w:t xml:space="preserve">(false) </w:t>
      </w:r>
      <w:r w:rsidR="00B63B58" w:rsidRPr="00381871">
        <w:rPr>
          <w:sz w:val="24"/>
          <w:szCs w:val="24"/>
        </w:rPr>
        <w:t xml:space="preserve">statement as to what the </w:t>
      </w:r>
      <w:r w:rsidR="00381871" w:rsidRPr="00381871">
        <w:rPr>
          <w:sz w:val="24"/>
          <w:szCs w:val="24"/>
        </w:rPr>
        <w:t xml:space="preserve">claimant had actually </w:t>
      </w:r>
      <w:r w:rsidR="008E1C25">
        <w:rPr>
          <w:sz w:val="24"/>
          <w:szCs w:val="24"/>
        </w:rPr>
        <w:t xml:space="preserve">written </w:t>
      </w:r>
      <w:r w:rsidR="00A82CDF">
        <w:rPr>
          <w:sz w:val="24"/>
          <w:szCs w:val="24"/>
        </w:rPr>
        <w:t xml:space="preserve">in </w:t>
      </w:r>
      <w:r w:rsidR="004B0646">
        <w:rPr>
          <w:sz w:val="24"/>
          <w:szCs w:val="24"/>
        </w:rPr>
        <w:t xml:space="preserve">her </w:t>
      </w:r>
      <w:r w:rsidR="00A82CDF">
        <w:rPr>
          <w:sz w:val="24"/>
          <w:szCs w:val="24"/>
        </w:rPr>
        <w:t>tweet</w:t>
      </w:r>
      <w:r w:rsidR="00381871" w:rsidRPr="00381871">
        <w:rPr>
          <w:sz w:val="24"/>
          <w:szCs w:val="24"/>
        </w:rPr>
        <w:t>, as opposed to the defendant’s interpretation of it.  Nicklin J went on to find that the “</w:t>
      </w:r>
      <w:r w:rsidR="00381871" w:rsidRPr="00DD2F0D">
        <w:rPr>
          <w:i/>
          <w:iCs/>
          <w:sz w:val="24"/>
          <w:szCs w:val="24"/>
        </w:rPr>
        <w:t>flawed basis</w:t>
      </w:r>
      <w:r w:rsidR="00381871" w:rsidRPr="00381871">
        <w:rPr>
          <w:sz w:val="24"/>
          <w:szCs w:val="24"/>
        </w:rPr>
        <w:t xml:space="preserve">” on which the opinion was expressed </w:t>
      </w:r>
      <w:r w:rsidR="00631397">
        <w:rPr>
          <w:sz w:val="24"/>
          <w:szCs w:val="24"/>
        </w:rPr>
        <w:t xml:space="preserve">i.e. the misrepresentation of the claimant’s </w:t>
      </w:r>
      <w:r w:rsidR="00687F36">
        <w:rPr>
          <w:sz w:val="24"/>
          <w:szCs w:val="24"/>
        </w:rPr>
        <w:t xml:space="preserve">actual </w:t>
      </w:r>
      <w:r w:rsidR="00631397">
        <w:rPr>
          <w:sz w:val="24"/>
          <w:szCs w:val="24"/>
        </w:rPr>
        <w:t xml:space="preserve">words, </w:t>
      </w:r>
      <w:r w:rsidR="00381871" w:rsidRPr="00381871">
        <w:rPr>
          <w:sz w:val="24"/>
          <w:szCs w:val="24"/>
        </w:rPr>
        <w:t xml:space="preserve">did not reflect on the defendant’s honesty: </w:t>
      </w:r>
    </w:p>
    <w:p w14:paraId="02173615" w14:textId="26A8C282" w:rsidR="00381871" w:rsidRPr="00381871" w:rsidRDefault="00381871" w:rsidP="00381871">
      <w:pPr>
        <w:pStyle w:val="ListParagraph"/>
        <w:spacing w:before="240" w:after="240" w:line="360" w:lineRule="auto"/>
        <w:ind w:left="357"/>
        <w:contextualSpacing w:val="0"/>
        <w:rPr>
          <w:i/>
          <w:iCs/>
          <w:sz w:val="24"/>
          <w:szCs w:val="24"/>
        </w:rPr>
      </w:pPr>
      <w:r w:rsidRPr="00381871">
        <w:rPr>
          <w:i/>
          <w:iCs/>
          <w:sz w:val="24"/>
          <w:szCs w:val="24"/>
        </w:rPr>
        <w:t>“101.</w:t>
      </w:r>
      <w:r w:rsidRPr="00381871">
        <w:rPr>
          <w:i/>
          <w:iCs/>
          <w:sz w:val="24"/>
          <w:szCs w:val="24"/>
        </w:rPr>
        <w:tab/>
        <w:t>….An allegation under s.3(5) that the Defendant did not hold the opinion is tantamount to a plea of malice, reflecting the position as it was at common law. Malice is a serious allegation. It requires a clear pleading and cogent evidence. The Claimant has advanced neither.</w:t>
      </w:r>
    </w:p>
    <w:p w14:paraId="645CBA21" w14:textId="415CE9F2" w:rsidR="00381871" w:rsidRDefault="00381871" w:rsidP="00381871">
      <w:pPr>
        <w:pStyle w:val="ListParagraph"/>
        <w:spacing w:before="240" w:after="240" w:line="360" w:lineRule="auto"/>
        <w:ind w:left="357"/>
        <w:contextualSpacing w:val="0"/>
        <w:rPr>
          <w:sz w:val="24"/>
          <w:szCs w:val="24"/>
        </w:rPr>
      </w:pPr>
      <w:r w:rsidRPr="00381871">
        <w:rPr>
          <w:i/>
          <w:iCs/>
          <w:sz w:val="24"/>
          <w:szCs w:val="24"/>
        </w:rPr>
        <w:t>102.</w:t>
      </w:r>
      <w:r w:rsidRPr="00381871">
        <w:rPr>
          <w:i/>
          <w:iCs/>
          <w:sz w:val="24"/>
          <w:szCs w:val="24"/>
        </w:rPr>
        <w:tab/>
        <w:t>The Defendant was not effectively challenged on her evidence that she did hold the Opinion. Frankly, Mr Bennett QC lacked an evidential basis upon which to do so, and quite properly he did not try. In my judgment, the Defendant did honestly hold the Opinion. However, the basis on which she expressed that opinion was flawed and, for the reasons I have explained, her honest opinion defence has failed. This is no reflection upon the Defendant’s honesty. I have already stated that I am satisfied that the evidence of both the Claimant and Defendant was truthful (see [32] above).”</w:t>
      </w:r>
      <w:r w:rsidRPr="00381871">
        <w:rPr>
          <w:i/>
          <w:iCs/>
          <w:sz w:val="24"/>
          <w:szCs w:val="24"/>
        </w:rPr>
        <w:t> </w:t>
      </w:r>
    </w:p>
    <w:p w14:paraId="397CC341" w14:textId="0220E416" w:rsidR="00A34A0B" w:rsidRDefault="00381871" w:rsidP="00A34A0B">
      <w:pPr>
        <w:pStyle w:val="ListParagraph"/>
        <w:numPr>
          <w:ilvl w:val="0"/>
          <w:numId w:val="1"/>
        </w:numPr>
        <w:spacing w:before="240" w:after="240" w:line="360" w:lineRule="auto"/>
        <w:ind w:left="357" w:hanging="357"/>
        <w:contextualSpacing w:val="0"/>
        <w:rPr>
          <w:sz w:val="24"/>
          <w:szCs w:val="24"/>
        </w:rPr>
      </w:pPr>
      <w:r>
        <w:rPr>
          <w:sz w:val="24"/>
          <w:szCs w:val="24"/>
        </w:rPr>
        <w:t xml:space="preserve">D is in a better position than </w:t>
      </w:r>
      <w:r w:rsidRPr="00B63B58">
        <w:rPr>
          <w:i/>
          <w:iCs/>
          <w:sz w:val="24"/>
          <w:szCs w:val="24"/>
        </w:rPr>
        <w:t>Matusevich</w:t>
      </w:r>
      <w:r w:rsidRPr="00B63B58">
        <w:rPr>
          <w:sz w:val="24"/>
          <w:szCs w:val="24"/>
        </w:rPr>
        <w:t xml:space="preserve"> </w:t>
      </w:r>
      <w:r>
        <w:rPr>
          <w:sz w:val="24"/>
          <w:szCs w:val="24"/>
        </w:rPr>
        <w:t xml:space="preserve">and </w:t>
      </w:r>
      <w:r>
        <w:rPr>
          <w:i/>
          <w:iCs/>
          <w:sz w:val="24"/>
          <w:szCs w:val="24"/>
        </w:rPr>
        <w:t xml:space="preserve">Riley. </w:t>
      </w:r>
      <w:r>
        <w:rPr>
          <w:sz w:val="24"/>
          <w:szCs w:val="24"/>
        </w:rPr>
        <w:t xml:space="preserve">He has not misrepresented what C actually said.  </w:t>
      </w:r>
      <w:r w:rsidR="00B611D9">
        <w:rPr>
          <w:sz w:val="24"/>
          <w:szCs w:val="24"/>
        </w:rPr>
        <w:t>H</w:t>
      </w:r>
      <w:r>
        <w:rPr>
          <w:sz w:val="24"/>
          <w:szCs w:val="24"/>
        </w:rPr>
        <w:t xml:space="preserve">e clearly indicated that the Opinion was an interpretation of the </w:t>
      </w:r>
      <w:r w:rsidR="00563737">
        <w:rPr>
          <w:sz w:val="24"/>
          <w:szCs w:val="24"/>
        </w:rPr>
        <w:t xml:space="preserve">actual </w:t>
      </w:r>
      <w:r w:rsidR="00B611D9">
        <w:rPr>
          <w:sz w:val="24"/>
          <w:szCs w:val="24"/>
        </w:rPr>
        <w:t xml:space="preserve">words used by C. </w:t>
      </w:r>
      <w:r w:rsidR="00A34A0B">
        <w:rPr>
          <w:sz w:val="24"/>
          <w:szCs w:val="24"/>
        </w:rPr>
        <w:t xml:space="preserve"> </w:t>
      </w:r>
      <w:r w:rsidR="00F37DD8">
        <w:rPr>
          <w:sz w:val="24"/>
          <w:szCs w:val="24"/>
        </w:rPr>
        <w:t xml:space="preserve">The fact that he chose to do so indicates a genuineness of belief in the interpretation. </w:t>
      </w:r>
      <w:r w:rsidR="00563737">
        <w:rPr>
          <w:sz w:val="24"/>
          <w:szCs w:val="24"/>
        </w:rPr>
        <w:t xml:space="preserve">D’s spontaneous responses </w:t>
      </w:r>
      <w:r w:rsidR="00AF138A">
        <w:rPr>
          <w:sz w:val="24"/>
          <w:szCs w:val="24"/>
        </w:rPr>
        <w:t xml:space="preserve">and accompanying body language </w:t>
      </w:r>
      <w:r w:rsidR="00563737">
        <w:rPr>
          <w:sz w:val="24"/>
          <w:szCs w:val="24"/>
        </w:rPr>
        <w:t xml:space="preserve">to challenges by </w:t>
      </w:r>
      <w:r w:rsidR="00256A05">
        <w:rPr>
          <w:sz w:val="24"/>
          <w:szCs w:val="24"/>
        </w:rPr>
        <w:t>Matthew</w:t>
      </w:r>
      <w:r w:rsidR="00563737">
        <w:rPr>
          <w:sz w:val="24"/>
          <w:szCs w:val="24"/>
        </w:rPr>
        <w:t xml:space="preserve"> Laza – “</w:t>
      </w:r>
      <w:r w:rsidR="00563737" w:rsidRPr="00563737">
        <w:rPr>
          <w:i/>
          <w:iCs/>
          <w:sz w:val="24"/>
          <w:szCs w:val="24"/>
        </w:rPr>
        <w:t>He did, he said ‘one man’s . . .”</w:t>
      </w:r>
      <w:r w:rsidR="00563737">
        <w:rPr>
          <w:sz w:val="24"/>
          <w:szCs w:val="24"/>
        </w:rPr>
        <w:t xml:space="preserve">  and “</w:t>
      </w:r>
      <w:r w:rsidR="00563737" w:rsidRPr="00563737">
        <w:rPr>
          <w:i/>
          <w:iCs/>
          <w:sz w:val="24"/>
          <w:szCs w:val="24"/>
        </w:rPr>
        <w:t>Well, I’ll tell you something now, that’s how people read that statement</w:t>
      </w:r>
      <w:r w:rsidR="00563737">
        <w:rPr>
          <w:sz w:val="24"/>
          <w:szCs w:val="24"/>
        </w:rPr>
        <w:t xml:space="preserve">” - come across as </w:t>
      </w:r>
      <w:r w:rsidR="00256A05">
        <w:rPr>
          <w:sz w:val="24"/>
          <w:szCs w:val="24"/>
        </w:rPr>
        <w:t xml:space="preserve">obviously </w:t>
      </w:r>
      <w:r w:rsidR="00563737">
        <w:rPr>
          <w:sz w:val="24"/>
          <w:szCs w:val="24"/>
        </w:rPr>
        <w:t>genuine</w:t>
      </w:r>
      <w:r w:rsidR="00563737" w:rsidRPr="00563737">
        <w:rPr>
          <w:sz w:val="24"/>
          <w:szCs w:val="24"/>
        </w:rPr>
        <w:t xml:space="preserve">. </w:t>
      </w:r>
    </w:p>
    <w:p w14:paraId="583F6DF1" w14:textId="551C1625" w:rsidR="00E12197" w:rsidRDefault="00687F36"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It is not for D to speculate on </w:t>
      </w:r>
      <w:r w:rsidR="009C2EA4">
        <w:rPr>
          <w:sz w:val="24"/>
          <w:szCs w:val="24"/>
        </w:rPr>
        <w:t xml:space="preserve">the </w:t>
      </w:r>
      <w:r>
        <w:rPr>
          <w:sz w:val="24"/>
          <w:szCs w:val="24"/>
        </w:rPr>
        <w:t xml:space="preserve">circumstances in which </w:t>
      </w:r>
      <w:r w:rsidR="00B820C4">
        <w:rPr>
          <w:sz w:val="24"/>
          <w:szCs w:val="24"/>
        </w:rPr>
        <w:t xml:space="preserve">a </w:t>
      </w:r>
      <w:r>
        <w:rPr>
          <w:sz w:val="24"/>
          <w:szCs w:val="24"/>
        </w:rPr>
        <w:t xml:space="preserve">claimant’s words could </w:t>
      </w:r>
      <w:r w:rsidR="00B820C4">
        <w:rPr>
          <w:sz w:val="24"/>
          <w:szCs w:val="24"/>
        </w:rPr>
        <w:t xml:space="preserve">satisfy both </w:t>
      </w:r>
      <w:r>
        <w:rPr>
          <w:sz w:val="24"/>
          <w:szCs w:val="24"/>
        </w:rPr>
        <w:t xml:space="preserve">s.3(4) and </w:t>
      </w:r>
      <w:r w:rsidR="00B820C4">
        <w:rPr>
          <w:sz w:val="24"/>
          <w:szCs w:val="24"/>
        </w:rPr>
        <w:t xml:space="preserve">the probability test for </w:t>
      </w:r>
      <w:r>
        <w:rPr>
          <w:sz w:val="24"/>
          <w:szCs w:val="24"/>
        </w:rPr>
        <w:t xml:space="preserve">s.3(5).  </w:t>
      </w:r>
      <w:r w:rsidR="00B820C4">
        <w:rPr>
          <w:sz w:val="24"/>
          <w:szCs w:val="24"/>
        </w:rPr>
        <w:t xml:space="preserve">D’s only interest </w:t>
      </w:r>
      <w:r w:rsidR="00E12197">
        <w:rPr>
          <w:sz w:val="24"/>
          <w:szCs w:val="24"/>
        </w:rPr>
        <w:t xml:space="preserve">was and </w:t>
      </w:r>
      <w:r w:rsidR="00B820C4">
        <w:rPr>
          <w:sz w:val="24"/>
          <w:szCs w:val="24"/>
        </w:rPr>
        <w:t xml:space="preserve">is to extricate himself from this litigation following his success on s.3(2)-(4). </w:t>
      </w:r>
      <w:r w:rsidR="00E12197">
        <w:rPr>
          <w:sz w:val="24"/>
          <w:szCs w:val="24"/>
        </w:rPr>
        <w:t xml:space="preserve">It </w:t>
      </w:r>
      <w:r w:rsidR="00501647">
        <w:rPr>
          <w:sz w:val="24"/>
          <w:szCs w:val="24"/>
        </w:rPr>
        <w:t xml:space="preserve">is </w:t>
      </w:r>
      <w:r w:rsidR="00E12197">
        <w:rPr>
          <w:sz w:val="24"/>
          <w:szCs w:val="24"/>
        </w:rPr>
        <w:t xml:space="preserve">for C to advance a reconciliation of D succeeding on s.3(4) and C succeeding on </w:t>
      </w:r>
      <w:r w:rsidR="004B0646">
        <w:rPr>
          <w:sz w:val="24"/>
          <w:szCs w:val="24"/>
        </w:rPr>
        <w:t>s.3</w:t>
      </w:r>
      <w:r w:rsidR="00E12197">
        <w:rPr>
          <w:sz w:val="24"/>
          <w:szCs w:val="24"/>
        </w:rPr>
        <w:t>(5)</w:t>
      </w:r>
      <w:r w:rsidR="00A82CDF">
        <w:rPr>
          <w:sz w:val="24"/>
          <w:szCs w:val="24"/>
        </w:rPr>
        <w:t xml:space="preserve"> that satisfies the probability test</w:t>
      </w:r>
      <w:r w:rsidR="00E12197">
        <w:rPr>
          <w:sz w:val="24"/>
          <w:szCs w:val="24"/>
        </w:rPr>
        <w:t>.</w:t>
      </w:r>
      <w:r w:rsidR="00501647">
        <w:rPr>
          <w:sz w:val="24"/>
          <w:szCs w:val="24"/>
        </w:rPr>
        <w:t xml:space="preserve"> None has been advanced thus far.</w:t>
      </w:r>
    </w:p>
    <w:p w14:paraId="2B07D877" w14:textId="6490EA58" w:rsidR="00ED7D82" w:rsidRDefault="00B820C4" w:rsidP="00EA34F2">
      <w:pPr>
        <w:pStyle w:val="ListParagraph"/>
        <w:numPr>
          <w:ilvl w:val="0"/>
          <w:numId w:val="1"/>
        </w:numPr>
        <w:spacing w:before="240" w:after="240" w:line="360" w:lineRule="auto"/>
        <w:ind w:left="357" w:hanging="357"/>
        <w:contextualSpacing w:val="0"/>
        <w:rPr>
          <w:sz w:val="24"/>
          <w:szCs w:val="24"/>
        </w:rPr>
      </w:pPr>
      <w:r>
        <w:rPr>
          <w:sz w:val="24"/>
          <w:szCs w:val="24"/>
        </w:rPr>
        <w:t>C’s submissions on the interpretation of the Interview were mainly directed to s.3(4)</w:t>
      </w:r>
      <w:r w:rsidR="00ED7D82">
        <w:rPr>
          <w:sz w:val="24"/>
          <w:szCs w:val="24"/>
        </w:rPr>
        <w:t xml:space="preserve">. </w:t>
      </w:r>
      <w:r w:rsidR="00E12197">
        <w:rPr>
          <w:sz w:val="24"/>
          <w:szCs w:val="24"/>
        </w:rPr>
        <w:t xml:space="preserve"> C’s initial </w:t>
      </w:r>
      <w:r w:rsidR="00C20567">
        <w:rPr>
          <w:sz w:val="24"/>
          <w:szCs w:val="24"/>
        </w:rPr>
        <w:t xml:space="preserve">hesitant </w:t>
      </w:r>
      <w:r w:rsidR="00E12197">
        <w:rPr>
          <w:sz w:val="24"/>
          <w:szCs w:val="24"/>
        </w:rPr>
        <w:t xml:space="preserve">agreement with Labour’s position and his final statement </w:t>
      </w:r>
      <w:r w:rsidR="00E12197">
        <w:rPr>
          <w:sz w:val="24"/>
          <w:szCs w:val="24"/>
        </w:rPr>
        <w:lastRenderedPageBreak/>
        <w:t xml:space="preserve">that he did </w:t>
      </w:r>
      <w:r w:rsidR="00256A05">
        <w:rPr>
          <w:sz w:val="24"/>
          <w:szCs w:val="24"/>
        </w:rPr>
        <w:t xml:space="preserve">not </w:t>
      </w:r>
      <w:r w:rsidR="00E12197">
        <w:rPr>
          <w:sz w:val="24"/>
          <w:szCs w:val="24"/>
        </w:rPr>
        <w:t xml:space="preserve">support </w:t>
      </w:r>
      <w:r w:rsidR="00DE3D8D">
        <w:rPr>
          <w:sz w:val="24"/>
          <w:szCs w:val="24"/>
        </w:rPr>
        <w:t xml:space="preserve">the </w:t>
      </w:r>
      <w:r w:rsidR="00E12197">
        <w:rPr>
          <w:sz w:val="24"/>
          <w:szCs w:val="24"/>
        </w:rPr>
        <w:t xml:space="preserve">Hamas </w:t>
      </w:r>
      <w:r w:rsidR="00DE3D8D">
        <w:rPr>
          <w:sz w:val="24"/>
          <w:szCs w:val="24"/>
        </w:rPr>
        <w:t xml:space="preserve">Attack </w:t>
      </w:r>
      <w:r w:rsidR="00E12197">
        <w:rPr>
          <w:sz w:val="24"/>
          <w:szCs w:val="24"/>
        </w:rPr>
        <w:t xml:space="preserve">were presented as </w:t>
      </w:r>
      <w:r w:rsidR="00053CEB">
        <w:rPr>
          <w:sz w:val="24"/>
          <w:szCs w:val="24"/>
        </w:rPr>
        <w:t xml:space="preserve">knockout blows to </w:t>
      </w:r>
      <w:r w:rsidR="004B0646">
        <w:rPr>
          <w:sz w:val="24"/>
          <w:szCs w:val="24"/>
        </w:rPr>
        <w:t xml:space="preserve">the </w:t>
      </w:r>
      <w:r w:rsidR="00E12197">
        <w:rPr>
          <w:sz w:val="24"/>
          <w:szCs w:val="24"/>
        </w:rPr>
        <w:t>s.3(4)</w:t>
      </w:r>
      <w:r w:rsidR="004B0646">
        <w:rPr>
          <w:sz w:val="24"/>
          <w:szCs w:val="24"/>
        </w:rPr>
        <w:t xml:space="preserve"> objective honest belief</w:t>
      </w:r>
      <w:r w:rsidR="00E12197">
        <w:rPr>
          <w:sz w:val="24"/>
          <w:szCs w:val="24"/>
        </w:rPr>
        <w:t xml:space="preserve">.  </w:t>
      </w:r>
      <w:r w:rsidR="00ED7D82">
        <w:rPr>
          <w:sz w:val="24"/>
          <w:szCs w:val="24"/>
        </w:rPr>
        <w:t>The</w:t>
      </w:r>
      <w:r w:rsidR="00E12197">
        <w:rPr>
          <w:sz w:val="24"/>
          <w:szCs w:val="24"/>
        </w:rPr>
        <w:t xml:space="preserve"> same points were made for the </w:t>
      </w:r>
      <w:r w:rsidR="00ED7D82">
        <w:rPr>
          <w:sz w:val="24"/>
          <w:szCs w:val="24"/>
        </w:rPr>
        <w:t>purposes of s.3(5) to support a “</w:t>
      </w:r>
      <w:r w:rsidR="00ED7D82" w:rsidRPr="00E12197">
        <w:rPr>
          <w:i/>
          <w:iCs/>
          <w:sz w:val="24"/>
          <w:szCs w:val="24"/>
        </w:rPr>
        <w:t>proper case</w:t>
      </w:r>
      <w:r w:rsidR="00ED7D82">
        <w:rPr>
          <w:sz w:val="24"/>
          <w:szCs w:val="24"/>
        </w:rPr>
        <w:t>” that D “</w:t>
      </w:r>
      <w:r w:rsidR="00ED7D82" w:rsidRPr="00E12197">
        <w:rPr>
          <w:i/>
          <w:iCs/>
          <w:sz w:val="24"/>
          <w:szCs w:val="24"/>
        </w:rPr>
        <w:t>must have known</w:t>
      </w:r>
      <w:r w:rsidR="00ED7D82">
        <w:rPr>
          <w:sz w:val="24"/>
          <w:szCs w:val="24"/>
        </w:rPr>
        <w:t>” that the Opinion was false.</w:t>
      </w:r>
      <w:r w:rsidR="00563737">
        <w:rPr>
          <w:rStyle w:val="FootnoteReference"/>
          <w:sz w:val="24"/>
          <w:szCs w:val="24"/>
        </w:rPr>
        <w:footnoteReference w:id="19"/>
      </w:r>
      <w:r w:rsidR="00ED7D82">
        <w:rPr>
          <w:sz w:val="24"/>
          <w:szCs w:val="24"/>
        </w:rPr>
        <w:t xml:space="preserve">  </w:t>
      </w:r>
      <w:r w:rsidR="00E12197">
        <w:rPr>
          <w:sz w:val="24"/>
          <w:szCs w:val="24"/>
        </w:rPr>
        <w:t>The phrase “</w:t>
      </w:r>
      <w:r w:rsidR="00E12197" w:rsidRPr="00E12197">
        <w:rPr>
          <w:i/>
          <w:iCs/>
          <w:sz w:val="24"/>
          <w:szCs w:val="24"/>
        </w:rPr>
        <w:t>must have known</w:t>
      </w:r>
      <w:r w:rsidR="00E12197">
        <w:rPr>
          <w:sz w:val="24"/>
          <w:szCs w:val="24"/>
        </w:rPr>
        <w:t xml:space="preserve">” pays lip service to s.3(5).   </w:t>
      </w:r>
      <w:r w:rsidR="00D534BE">
        <w:rPr>
          <w:sz w:val="24"/>
          <w:szCs w:val="24"/>
        </w:rPr>
        <w:t xml:space="preserve">The reality is that it </w:t>
      </w:r>
      <w:r w:rsidR="00256A05">
        <w:rPr>
          <w:sz w:val="24"/>
          <w:szCs w:val="24"/>
        </w:rPr>
        <w:t xml:space="preserve">invites </w:t>
      </w:r>
      <w:r w:rsidR="0061743D">
        <w:rPr>
          <w:sz w:val="24"/>
          <w:szCs w:val="24"/>
        </w:rPr>
        <w:t xml:space="preserve">an </w:t>
      </w:r>
      <w:r w:rsidR="00E12197">
        <w:rPr>
          <w:sz w:val="24"/>
          <w:szCs w:val="24"/>
        </w:rPr>
        <w:t xml:space="preserve">inference that D must have known what he ought to have realised. </w:t>
      </w:r>
      <w:r w:rsidR="00D534BE">
        <w:rPr>
          <w:sz w:val="24"/>
          <w:szCs w:val="24"/>
        </w:rPr>
        <w:t xml:space="preserve"> This is the paradigm of what the probability test prevents. </w:t>
      </w:r>
    </w:p>
    <w:p w14:paraId="4A84F0D8" w14:textId="64DD2CDE" w:rsidR="00B12FF2" w:rsidRPr="00872E3A" w:rsidRDefault="00B12FF2" w:rsidP="00B12FF2">
      <w:pPr>
        <w:spacing w:before="240" w:after="240" w:line="360" w:lineRule="auto"/>
        <w:rPr>
          <w:sz w:val="24"/>
          <w:szCs w:val="24"/>
          <w:u w:val="single"/>
        </w:rPr>
      </w:pPr>
      <w:bookmarkStart w:id="9" w:name="_Hlk194496693"/>
      <w:r w:rsidRPr="00872E3A">
        <w:rPr>
          <w:sz w:val="24"/>
          <w:szCs w:val="24"/>
          <w:u w:val="single"/>
        </w:rPr>
        <w:t xml:space="preserve">D’s </w:t>
      </w:r>
      <w:r w:rsidR="004A48FB" w:rsidRPr="00872E3A">
        <w:rPr>
          <w:sz w:val="24"/>
          <w:szCs w:val="24"/>
          <w:u w:val="single"/>
        </w:rPr>
        <w:t xml:space="preserve">witness statement </w:t>
      </w:r>
    </w:p>
    <w:bookmarkEnd w:id="9"/>
    <w:p w14:paraId="4CDA17EA" w14:textId="6A8FA22B" w:rsidR="00DE3D8D" w:rsidRDefault="00872E3A" w:rsidP="00B12FF2">
      <w:pPr>
        <w:pStyle w:val="ListParagraph"/>
        <w:numPr>
          <w:ilvl w:val="0"/>
          <w:numId w:val="1"/>
        </w:numPr>
        <w:spacing w:before="240" w:after="240" w:line="360" w:lineRule="auto"/>
        <w:ind w:left="357" w:hanging="357"/>
        <w:contextualSpacing w:val="0"/>
        <w:rPr>
          <w:sz w:val="24"/>
          <w:szCs w:val="24"/>
        </w:rPr>
      </w:pPr>
      <w:r>
        <w:rPr>
          <w:sz w:val="24"/>
          <w:szCs w:val="24"/>
        </w:rPr>
        <w:t xml:space="preserve">If a claimant does not satisfy the probability </w:t>
      </w:r>
      <w:r w:rsidR="005B45DE">
        <w:rPr>
          <w:sz w:val="24"/>
          <w:szCs w:val="24"/>
        </w:rPr>
        <w:t xml:space="preserve">test </w:t>
      </w:r>
      <w:r>
        <w:rPr>
          <w:sz w:val="24"/>
          <w:szCs w:val="24"/>
        </w:rPr>
        <w:t xml:space="preserve">there is no obligation on a defendant </w:t>
      </w:r>
      <w:r w:rsidR="00DE3D8D">
        <w:rPr>
          <w:sz w:val="24"/>
          <w:szCs w:val="24"/>
        </w:rPr>
        <w:t xml:space="preserve">to </w:t>
      </w:r>
      <w:r>
        <w:rPr>
          <w:sz w:val="24"/>
          <w:szCs w:val="24"/>
        </w:rPr>
        <w:t xml:space="preserve">give positive evidence of honest belief.  In the present case, C had not identified any case on s.3(5) in correspondence and there was no obligation on D to serve a witness statement in support of the SJ application.  </w:t>
      </w:r>
    </w:p>
    <w:p w14:paraId="18BA72AB" w14:textId="3A4577F2" w:rsidR="00B81B96" w:rsidRDefault="00872E3A" w:rsidP="00B12FF2">
      <w:pPr>
        <w:pStyle w:val="ListParagraph"/>
        <w:numPr>
          <w:ilvl w:val="0"/>
          <w:numId w:val="1"/>
        </w:numPr>
        <w:spacing w:before="240" w:after="240" w:line="360" w:lineRule="auto"/>
        <w:ind w:left="357" w:hanging="357"/>
        <w:contextualSpacing w:val="0"/>
        <w:rPr>
          <w:sz w:val="24"/>
          <w:szCs w:val="24"/>
        </w:rPr>
      </w:pPr>
      <w:r>
        <w:rPr>
          <w:sz w:val="24"/>
          <w:szCs w:val="24"/>
        </w:rPr>
        <w:t xml:space="preserve">C’s witness statement in reply </w:t>
      </w:r>
      <w:r w:rsidR="00DE3D8D">
        <w:rPr>
          <w:sz w:val="24"/>
          <w:szCs w:val="24"/>
        </w:rPr>
        <w:t xml:space="preserve">only </w:t>
      </w:r>
      <w:r>
        <w:rPr>
          <w:sz w:val="24"/>
          <w:szCs w:val="24"/>
        </w:rPr>
        <w:t>hinted at such a case</w:t>
      </w:r>
      <w:r w:rsidR="00830B2E">
        <w:rPr>
          <w:sz w:val="24"/>
          <w:szCs w:val="24"/>
        </w:rPr>
        <w:t xml:space="preserve">. Its stated purpose was: </w:t>
      </w:r>
      <w:r w:rsidR="00830B2E" w:rsidRPr="00830B2E">
        <w:rPr>
          <w:sz w:val="24"/>
          <w:szCs w:val="24"/>
        </w:rPr>
        <w:t>“</w:t>
      </w:r>
      <w:r w:rsidR="00830B2E" w:rsidRPr="00830B2E">
        <w:rPr>
          <w:i/>
          <w:iCs/>
          <w:sz w:val="24"/>
          <w:szCs w:val="24"/>
        </w:rPr>
        <w:t>to explain briefly why the allegations I have sued over are false and to correct some misleading statements made by Lord Bailey in the Continuation Sheet attached to the Application Notice</w:t>
      </w:r>
      <w:r w:rsidR="00830B2E" w:rsidRPr="00830B2E">
        <w:rPr>
          <w:sz w:val="24"/>
          <w:szCs w:val="24"/>
        </w:rPr>
        <w:t>.”</w:t>
      </w:r>
      <w:r w:rsidR="00563737">
        <w:rPr>
          <w:rStyle w:val="FootnoteReference"/>
          <w:sz w:val="24"/>
          <w:szCs w:val="24"/>
        </w:rPr>
        <w:footnoteReference w:id="20"/>
      </w:r>
      <w:r w:rsidR="00830B2E" w:rsidRPr="00830B2E">
        <w:rPr>
          <w:sz w:val="24"/>
          <w:szCs w:val="24"/>
        </w:rPr>
        <w:t xml:space="preserve"> </w:t>
      </w:r>
      <w:r w:rsidR="00830B2E">
        <w:rPr>
          <w:sz w:val="24"/>
          <w:szCs w:val="24"/>
        </w:rPr>
        <w:t xml:space="preserve"> It </w:t>
      </w:r>
      <w:r>
        <w:rPr>
          <w:sz w:val="24"/>
          <w:szCs w:val="24"/>
        </w:rPr>
        <w:t>specifically re</w:t>
      </w:r>
      <w:r w:rsidR="00DE3D8D">
        <w:rPr>
          <w:sz w:val="24"/>
          <w:szCs w:val="24"/>
        </w:rPr>
        <w:t xml:space="preserve">ferred to </w:t>
      </w:r>
      <w:r>
        <w:rPr>
          <w:sz w:val="24"/>
          <w:szCs w:val="24"/>
        </w:rPr>
        <w:t xml:space="preserve">C’s initial agreement with Labour’s position and his disavowal of support for the Hamas Attack.  </w:t>
      </w:r>
      <w:r w:rsidR="00830B2E">
        <w:rPr>
          <w:sz w:val="24"/>
          <w:szCs w:val="24"/>
        </w:rPr>
        <w:t>It was unclear whether this was directed to s.2/3(4) or s</w:t>
      </w:r>
      <w:r w:rsidR="0061743D">
        <w:rPr>
          <w:sz w:val="24"/>
          <w:szCs w:val="24"/>
        </w:rPr>
        <w:t>.</w:t>
      </w:r>
      <w:r w:rsidR="00830B2E">
        <w:rPr>
          <w:sz w:val="24"/>
          <w:szCs w:val="24"/>
        </w:rPr>
        <w:t xml:space="preserve">3(5). </w:t>
      </w:r>
      <w:r>
        <w:rPr>
          <w:sz w:val="24"/>
          <w:szCs w:val="24"/>
        </w:rPr>
        <w:t xml:space="preserve">In </w:t>
      </w:r>
      <w:r w:rsidR="00830B2E">
        <w:rPr>
          <w:sz w:val="24"/>
          <w:szCs w:val="24"/>
        </w:rPr>
        <w:t>response</w:t>
      </w:r>
      <w:r>
        <w:rPr>
          <w:sz w:val="24"/>
          <w:szCs w:val="24"/>
        </w:rPr>
        <w:t xml:space="preserve">, D served a </w:t>
      </w:r>
      <w:r w:rsidR="00B81B96">
        <w:rPr>
          <w:sz w:val="24"/>
          <w:szCs w:val="24"/>
        </w:rPr>
        <w:t xml:space="preserve">statement </w:t>
      </w:r>
      <w:r>
        <w:rPr>
          <w:sz w:val="24"/>
          <w:szCs w:val="24"/>
        </w:rPr>
        <w:t xml:space="preserve">which </w:t>
      </w:r>
      <w:r w:rsidR="00DE3D8D">
        <w:rPr>
          <w:sz w:val="24"/>
          <w:szCs w:val="24"/>
        </w:rPr>
        <w:t xml:space="preserve">credibly </w:t>
      </w:r>
      <w:r w:rsidR="00984640">
        <w:rPr>
          <w:sz w:val="24"/>
          <w:szCs w:val="24"/>
        </w:rPr>
        <w:t>explained why these did not contradict the Opinion. J[86] was wrong to suggest that the witness statement had not addressed them.</w:t>
      </w:r>
      <w:r w:rsidR="00984640">
        <w:rPr>
          <w:rStyle w:val="FootnoteReference"/>
          <w:sz w:val="24"/>
          <w:szCs w:val="24"/>
        </w:rPr>
        <w:footnoteReference w:id="21"/>
      </w:r>
      <w:r w:rsidR="00984640">
        <w:rPr>
          <w:sz w:val="24"/>
          <w:szCs w:val="24"/>
        </w:rPr>
        <w:t xml:space="preserve"> </w:t>
      </w:r>
    </w:p>
    <w:p w14:paraId="60A9D055" w14:textId="741AE023" w:rsidR="00984640" w:rsidRDefault="00B81B96" w:rsidP="00B12FF2">
      <w:pPr>
        <w:pStyle w:val="ListParagraph"/>
        <w:numPr>
          <w:ilvl w:val="0"/>
          <w:numId w:val="1"/>
        </w:numPr>
        <w:spacing w:before="240" w:after="240" w:line="360" w:lineRule="auto"/>
        <w:ind w:left="357" w:hanging="357"/>
        <w:contextualSpacing w:val="0"/>
        <w:rPr>
          <w:sz w:val="24"/>
          <w:szCs w:val="24"/>
        </w:rPr>
      </w:pPr>
      <w:r>
        <w:rPr>
          <w:sz w:val="24"/>
          <w:szCs w:val="24"/>
        </w:rPr>
        <w:t>J[119] was also wrong to state that D claimed to have watched the Interview “</w:t>
      </w:r>
      <w:r w:rsidRPr="00B81B96">
        <w:rPr>
          <w:i/>
          <w:iCs/>
          <w:sz w:val="24"/>
          <w:szCs w:val="24"/>
        </w:rPr>
        <w:t>carefully</w:t>
      </w:r>
      <w:r>
        <w:rPr>
          <w:sz w:val="24"/>
          <w:szCs w:val="24"/>
        </w:rPr>
        <w:t xml:space="preserve">”.  It may be a relatively small point, but the relevant sentence was the sole justification for </w:t>
      </w:r>
      <w:r w:rsidR="0061743D">
        <w:rPr>
          <w:sz w:val="24"/>
          <w:szCs w:val="24"/>
        </w:rPr>
        <w:t xml:space="preserve">allowing a </w:t>
      </w:r>
      <w:r>
        <w:rPr>
          <w:sz w:val="24"/>
          <w:szCs w:val="24"/>
        </w:rPr>
        <w:t>s.3(5)</w:t>
      </w:r>
      <w:r w:rsidR="0061743D">
        <w:rPr>
          <w:sz w:val="24"/>
          <w:szCs w:val="24"/>
        </w:rPr>
        <w:t xml:space="preserve"> to proceed</w:t>
      </w:r>
      <w:r>
        <w:rPr>
          <w:sz w:val="24"/>
          <w:szCs w:val="24"/>
        </w:rPr>
        <w:t xml:space="preserve">. The alleged carefulness of the viewing was clearly linked </w:t>
      </w:r>
      <w:r w:rsidR="0061743D">
        <w:rPr>
          <w:sz w:val="24"/>
          <w:szCs w:val="24"/>
        </w:rPr>
        <w:t xml:space="preserve">to </w:t>
      </w:r>
      <w:r>
        <w:rPr>
          <w:sz w:val="24"/>
          <w:szCs w:val="24"/>
        </w:rPr>
        <w:t xml:space="preserve">the finding as to what D </w:t>
      </w:r>
      <w:r w:rsidRPr="0061743D">
        <w:rPr>
          <w:sz w:val="24"/>
          <w:szCs w:val="24"/>
        </w:rPr>
        <w:t>should have realised.</w:t>
      </w:r>
      <w:r>
        <w:rPr>
          <w:sz w:val="24"/>
          <w:szCs w:val="24"/>
        </w:rPr>
        <w:t xml:space="preserve"> </w:t>
      </w:r>
    </w:p>
    <w:p w14:paraId="691867A2" w14:textId="16175802" w:rsidR="00B12FF2" w:rsidRDefault="00DE3D8D" w:rsidP="00B12FF2">
      <w:pPr>
        <w:pStyle w:val="ListParagraph"/>
        <w:numPr>
          <w:ilvl w:val="0"/>
          <w:numId w:val="1"/>
        </w:numPr>
        <w:spacing w:before="240" w:after="240" w:line="360" w:lineRule="auto"/>
        <w:ind w:left="357" w:hanging="357"/>
        <w:contextualSpacing w:val="0"/>
        <w:rPr>
          <w:sz w:val="24"/>
          <w:szCs w:val="24"/>
        </w:rPr>
      </w:pPr>
      <w:r>
        <w:rPr>
          <w:sz w:val="24"/>
          <w:szCs w:val="24"/>
        </w:rPr>
        <w:t xml:space="preserve">D’s primary submission was that no witness statement was required from him as C did not properly identify a s.3(5) case and/or the Interview did not satisfy the probability test.  Further or alternatively, the </w:t>
      </w:r>
      <w:r w:rsidRPr="00967894">
        <w:rPr>
          <w:sz w:val="24"/>
          <w:szCs w:val="24"/>
        </w:rPr>
        <w:t xml:space="preserve">explanation </w:t>
      </w:r>
      <w:r>
        <w:rPr>
          <w:sz w:val="24"/>
          <w:szCs w:val="24"/>
        </w:rPr>
        <w:t xml:space="preserve">in D’s </w:t>
      </w:r>
      <w:r w:rsidR="0061743D">
        <w:rPr>
          <w:sz w:val="24"/>
          <w:szCs w:val="24"/>
        </w:rPr>
        <w:t xml:space="preserve">witness statement </w:t>
      </w:r>
      <w:r>
        <w:rPr>
          <w:sz w:val="24"/>
          <w:szCs w:val="24"/>
        </w:rPr>
        <w:t xml:space="preserve">as to why he held the Opinion is </w:t>
      </w:r>
      <w:r w:rsidRPr="00967894">
        <w:rPr>
          <w:sz w:val="24"/>
          <w:szCs w:val="24"/>
        </w:rPr>
        <w:t xml:space="preserve">credible and the prospect of it being disbelieved at trial is fanciful.  </w:t>
      </w:r>
    </w:p>
    <w:p w14:paraId="4E3E7093" w14:textId="7D8FE6ED" w:rsidR="00B657A7" w:rsidRPr="00B657A7" w:rsidRDefault="00B657A7" w:rsidP="00B657A7">
      <w:pPr>
        <w:spacing w:before="240" w:after="240" w:line="360" w:lineRule="auto"/>
        <w:rPr>
          <w:b/>
          <w:bCs/>
          <w:sz w:val="24"/>
          <w:szCs w:val="24"/>
        </w:rPr>
      </w:pPr>
      <w:bookmarkStart w:id="10" w:name="_Hlk194496709"/>
      <w:r>
        <w:rPr>
          <w:b/>
          <w:bCs/>
          <w:sz w:val="24"/>
          <w:szCs w:val="24"/>
        </w:rPr>
        <w:t>GOA [2] – Identifiabl</w:t>
      </w:r>
      <w:r w:rsidR="0063356B">
        <w:rPr>
          <w:b/>
          <w:bCs/>
          <w:sz w:val="24"/>
          <w:szCs w:val="24"/>
        </w:rPr>
        <w:t>e</w:t>
      </w:r>
      <w:r>
        <w:rPr>
          <w:b/>
          <w:bCs/>
          <w:sz w:val="24"/>
          <w:szCs w:val="24"/>
        </w:rPr>
        <w:t xml:space="preserve"> flaw</w:t>
      </w:r>
      <w:r w:rsidR="0063356B">
        <w:rPr>
          <w:b/>
          <w:bCs/>
          <w:sz w:val="24"/>
          <w:szCs w:val="24"/>
        </w:rPr>
        <w:t xml:space="preserve">s in </w:t>
      </w:r>
      <w:r w:rsidR="00782384">
        <w:rPr>
          <w:b/>
          <w:bCs/>
          <w:sz w:val="24"/>
          <w:szCs w:val="24"/>
        </w:rPr>
        <w:t xml:space="preserve">the interpretation of the Interview </w:t>
      </w:r>
    </w:p>
    <w:bookmarkEnd w:id="10"/>
    <w:p w14:paraId="087B415C" w14:textId="16283D58" w:rsidR="00B657A7" w:rsidRDefault="00B657A7" w:rsidP="00EA34F2">
      <w:pPr>
        <w:pStyle w:val="ListParagraph"/>
        <w:numPr>
          <w:ilvl w:val="0"/>
          <w:numId w:val="1"/>
        </w:numPr>
        <w:spacing w:before="240" w:after="240" w:line="360" w:lineRule="auto"/>
        <w:ind w:left="357" w:hanging="357"/>
        <w:contextualSpacing w:val="0"/>
        <w:rPr>
          <w:sz w:val="24"/>
          <w:szCs w:val="24"/>
        </w:rPr>
      </w:pPr>
      <w:r>
        <w:rPr>
          <w:sz w:val="24"/>
          <w:szCs w:val="24"/>
        </w:rPr>
        <w:t>As stated in [</w:t>
      </w:r>
      <w:r w:rsidR="00620D1C">
        <w:rPr>
          <w:sz w:val="24"/>
          <w:szCs w:val="24"/>
        </w:rPr>
        <w:t>12</w:t>
      </w:r>
      <w:r>
        <w:rPr>
          <w:sz w:val="24"/>
          <w:szCs w:val="24"/>
        </w:rPr>
        <w:t xml:space="preserve">] above, GOA[2] and the draft Defence do not require elaboration. </w:t>
      </w:r>
    </w:p>
    <w:p w14:paraId="2049C5EC" w14:textId="501744E8" w:rsidR="00053CEB" w:rsidRPr="00053CEB" w:rsidRDefault="00B657A7" w:rsidP="00053CEB">
      <w:pPr>
        <w:spacing w:before="240" w:after="240" w:line="360" w:lineRule="auto"/>
        <w:rPr>
          <w:b/>
          <w:bCs/>
          <w:sz w:val="24"/>
          <w:szCs w:val="24"/>
        </w:rPr>
      </w:pPr>
      <w:bookmarkStart w:id="11" w:name="_Hlk194496722"/>
      <w:r>
        <w:rPr>
          <w:b/>
          <w:bCs/>
          <w:sz w:val="24"/>
          <w:szCs w:val="24"/>
        </w:rPr>
        <w:t xml:space="preserve">GOA [3] - </w:t>
      </w:r>
      <w:r w:rsidR="00053CEB">
        <w:rPr>
          <w:b/>
          <w:bCs/>
          <w:sz w:val="24"/>
          <w:szCs w:val="24"/>
        </w:rPr>
        <w:t xml:space="preserve">The irrelevance of the </w:t>
      </w:r>
      <w:r w:rsidR="000029B6">
        <w:rPr>
          <w:b/>
          <w:bCs/>
          <w:sz w:val="24"/>
          <w:szCs w:val="24"/>
        </w:rPr>
        <w:t>S</w:t>
      </w:r>
      <w:r w:rsidR="00053CEB">
        <w:rPr>
          <w:b/>
          <w:bCs/>
          <w:sz w:val="24"/>
          <w:szCs w:val="24"/>
        </w:rPr>
        <w:t>egment allegation</w:t>
      </w:r>
    </w:p>
    <w:bookmarkEnd w:id="11"/>
    <w:p w14:paraId="181440D1" w14:textId="1897F715" w:rsidR="00053CEB" w:rsidRDefault="00B657A7"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It is only necessary to expand on </w:t>
      </w:r>
      <w:r w:rsidR="003615C9">
        <w:rPr>
          <w:sz w:val="24"/>
          <w:szCs w:val="24"/>
        </w:rPr>
        <w:t xml:space="preserve">GOA[3] </w:t>
      </w:r>
      <w:r>
        <w:rPr>
          <w:sz w:val="24"/>
          <w:szCs w:val="24"/>
        </w:rPr>
        <w:t xml:space="preserve">to a limited extent, as D’s primary case was that </w:t>
      </w:r>
      <w:r w:rsidR="00DE3D8D">
        <w:rPr>
          <w:sz w:val="24"/>
          <w:szCs w:val="24"/>
        </w:rPr>
        <w:t xml:space="preserve">the </w:t>
      </w:r>
      <w:r w:rsidR="000029B6">
        <w:rPr>
          <w:sz w:val="24"/>
          <w:szCs w:val="24"/>
        </w:rPr>
        <w:t>S</w:t>
      </w:r>
      <w:r w:rsidR="00DE3D8D">
        <w:rPr>
          <w:sz w:val="24"/>
          <w:szCs w:val="24"/>
        </w:rPr>
        <w:t xml:space="preserve">egment allegation was an </w:t>
      </w:r>
      <w:r>
        <w:rPr>
          <w:sz w:val="24"/>
          <w:szCs w:val="24"/>
        </w:rPr>
        <w:t>irrelevan</w:t>
      </w:r>
      <w:r w:rsidR="00DE3D8D">
        <w:rPr>
          <w:sz w:val="24"/>
          <w:szCs w:val="24"/>
        </w:rPr>
        <w:t>ce</w:t>
      </w:r>
      <w:r>
        <w:rPr>
          <w:sz w:val="24"/>
          <w:szCs w:val="24"/>
        </w:rPr>
        <w:t xml:space="preserve">.  The Judge did not justify the </w:t>
      </w:r>
      <w:r w:rsidR="003615C9">
        <w:rPr>
          <w:sz w:val="24"/>
          <w:szCs w:val="24"/>
        </w:rPr>
        <w:t xml:space="preserve">rejection of the SJ application on the basis of the </w:t>
      </w:r>
      <w:r w:rsidR="000029B6">
        <w:rPr>
          <w:sz w:val="24"/>
          <w:szCs w:val="24"/>
        </w:rPr>
        <w:t>S</w:t>
      </w:r>
      <w:r w:rsidR="003615C9">
        <w:rPr>
          <w:sz w:val="24"/>
          <w:szCs w:val="24"/>
        </w:rPr>
        <w:t xml:space="preserve">egment allegation.  He did not grapple with its potential impact on s.3(5). The short point is that, on C’s </w:t>
      </w:r>
      <w:r w:rsidR="00951E79">
        <w:rPr>
          <w:sz w:val="24"/>
          <w:szCs w:val="24"/>
        </w:rPr>
        <w:t>reasoning</w:t>
      </w:r>
      <w:r w:rsidR="003615C9">
        <w:rPr>
          <w:sz w:val="24"/>
          <w:szCs w:val="24"/>
        </w:rPr>
        <w:t xml:space="preserve">, </w:t>
      </w:r>
      <w:r w:rsidR="00951E79">
        <w:rPr>
          <w:sz w:val="24"/>
          <w:szCs w:val="24"/>
        </w:rPr>
        <w:t xml:space="preserve">D </w:t>
      </w:r>
      <w:r w:rsidR="003615C9">
        <w:rPr>
          <w:sz w:val="24"/>
          <w:szCs w:val="24"/>
        </w:rPr>
        <w:t xml:space="preserve">would be in a </w:t>
      </w:r>
      <w:r w:rsidR="00951E79">
        <w:rPr>
          <w:sz w:val="24"/>
          <w:szCs w:val="24"/>
        </w:rPr>
        <w:t xml:space="preserve">better position on </w:t>
      </w:r>
      <w:r w:rsidR="003615C9">
        <w:rPr>
          <w:sz w:val="24"/>
          <w:szCs w:val="24"/>
        </w:rPr>
        <w:t xml:space="preserve">s.3(5) if </w:t>
      </w:r>
      <w:r w:rsidR="00951E79">
        <w:rPr>
          <w:sz w:val="24"/>
          <w:szCs w:val="24"/>
        </w:rPr>
        <w:t xml:space="preserve">he </w:t>
      </w:r>
      <w:r w:rsidR="003615C9">
        <w:rPr>
          <w:sz w:val="24"/>
          <w:szCs w:val="24"/>
        </w:rPr>
        <w:t xml:space="preserve">had only watched the </w:t>
      </w:r>
      <w:r w:rsidR="000029B6">
        <w:rPr>
          <w:sz w:val="24"/>
          <w:szCs w:val="24"/>
        </w:rPr>
        <w:t>S</w:t>
      </w:r>
      <w:r w:rsidR="003615C9">
        <w:rPr>
          <w:sz w:val="24"/>
          <w:szCs w:val="24"/>
        </w:rPr>
        <w:t>egment.</w:t>
      </w:r>
    </w:p>
    <w:p w14:paraId="016E5833" w14:textId="1E1D24EE" w:rsidR="00CE3076" w:rsidRDefault="00951E79"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The two </w:t>
      </w:r>
      <w:r w:rsidR="003615C9" w:rsidRPr="00FF3B58">
        <w:rPr>
          <w:sz w:val="24"/>
          <w:szCs w:val="24"/>
        </w:rPr>
        <w:t xml:space="preserve">witness statements </w:t>
      </w:r>
      <w:r>
        <w:rPr>
          <w:sz w:val="24"/>
          <w:szCs w:val="24"/>
        </w:rPr>
        <w:t xml:space="preserve">served by C </w:t>
      </w:r>
      <w:r w:rsidR="003615C9" w:rsidRPr="00FF3B58">
        <w:rPr>
          <w:sz w:val="24"/>
          <w:szCs w:val="24"/>
        </w:rPr>
        <w:t xml:space="preserve">in reply </w:t>
      </w:r>
      <w:r w:rsidR="003615C9">
        <w:rPr>
          <w:sz w:val="24"/>
          <w:szCs w:val="24"/>
        </w:rPr>
        <w:t xml:space="preserve">to the SJ application </w:t>
      </w:r>
      <w:r w:rsidR="003615C9" w:rsidRPr="00FF3B58">
        <w:rPr>
          <w:sz w:val="24"/>
          <w:szCs w:val="24"/>
        </w:rPr>
        <w:t xml:space="preserve">did not indicate any intention to advance the </w:t>
      </w:r>
      <w:r w:rsidR="000029B6">
        <w:rPr>
          <w:sz w:val="24"/>
          <w:szCs w:val="24"/>
        </w:rPr>
        <w:t>S</w:t>
      </w:r>
      <w:r w:rsidR="003615C9" w:rsidRPr="00FF3B58">
        <w:rPr>
          <w:sz w:val="24"/>
          <w:szCs w:val="24"/>
        </w:rPr>
        <w:t xml:space="preserve">egment allegation.  </w:t>
      </w:r>
      <w:r w:rsidR="00EF7886">
        <w:rPr>
          <w:sz w:val="24"/>
          <w:szCs w:val="24"/>
        </w:rPr>
        <w:t xml:space="preserve">C’s statement </w:t>
      </w:r>
      <w:r w:rsidR="00CE3076">
        <w:rPr>
          <w:sz w:val="24"/>
          <w:szCs w:val="24"/>
        </w:rPr>
        <w:t xml:space="preserve">referred to </w:t>
      </w:r>
      <w:r w:rsidR="007A46CC">
        <w:rPr>
          <w:sz w:val="24"/>
          <w:szCs w:val="24"/>
        </w:rPr>
        <w:t xml:space="preserve">the </w:t>
      </w:r>
      <w:r w:rsidR="000029B6">
        <w:rPr>
          <w:sz w:val="24"/>
          <w:szCs w:val="24"/>
        </w:rPr>
        <w:t>S</w:t>
      </w:r>
      <w:r w:rsidR="007A46CC">
        <w:rPr>
          <w:sz w:val="24"/>
          <w:szCs w:val="24"/>
        </w:rPr>
        <w:t>egment as “</w:t>
      </w:r>
      <w:r w:rsidR="007A46CC" w:rsidRPr="007A46CC">
        <w:rPr>
          <w:i/>
          <w:iCs/>
          <w:sz w:val="24"/>
          <w:szCs w:val="24"/>
        </w:rPr>
        <w:t>a very short out of context and misleading extract from the interview</w:t>
      </w:r>
      <w:r w:rsidR="007A46CC">
        <w:rPr>
          <w:sz w:val="24"/>
          <w:szCs w:val="24"/>
        </w:rPr>
        <w:t>”</w:t>
      </w:r>
      <w:r>
        <w:rPr>
          <w:sz w:val="24"/>
          <w:szCs w:val="24"/>
        </w:rPr>
        <w:t>,</w:t>
      </w:r>
      <w:r w:rsidR="000029B6">
        <w:rPr>
          <w:rStyle w:val="FootnoteReference"/>
          <w:sz w:val="24"/>
          <w:szCs w:val="24"/>
        </w:rPr>
        <w:footnoteReference w:id="22"/>
      </w:r>
      <w:r>
        <w:rPr>
          <w:sz w:val="24"/>
          <w:szCs w:val="24"/>
        </w:rPr>
        <w:t xml:space="preserve"> essentially because it omitted the </w:t>
      </w:r>
      <w:r w:rsidR="0061743D">
        <w:rPr>
          <w:sz w:val="24"/>
          <w:szCs w:val="24"/>
        </w:rPr>
        <w:t xml:space="preserve">alleged </w:t>
      </w:r>
      <w:r>
        <w:rPr>
          <w:sz w:val="24"/>
          <w:szCs w:val="24"/>
        </w:rPr>
        <w:t>knockout blows</w:t>
      </w:r>
      <w:r w:rsidR="007A46CC">
        <w:rPr>
          <w:sz w:val="24"/>
          <w:szCs w:val="24"/>
        </w:rPr>
        <w:t xml:space="preserve">.  C </w:t>
      </w:r>
      <w:r w:rsidR="00AC016C">
        <w:rPr>
          <w:sz w:val="24"/>
          <w:szCs w:val="24"/>
        </w:rPr>
        <w:t xml:space="preserve">then </w:t>
      </w:r>
      <w:r>
        <w:rPr>
          <w:sz w:val="24"/>
          <w:szCs w:val="24"/>
        </w:rPr>
        <w:t xml:space="preserve">noted </w:t>
      </w:r>
      <w:r w:rsidR="007A46CC">
        <w:rPr>
          <w:sz w:val="24"/>
          <w:szCs w:val="24"/>
        </w:rPr>
        <w:t xml:space="preserve">D’s </w:t>
      </w:r>
      <w:r>
        <w:rPr>
          <w:sz w:val="24"/>
          <w:szCs w:val="24"/>
        </w:rPr>
        <w:t xml:space="preserve">assertion in </w:t>
      </w:r>
      <w:r w:rsidR="007A46CC">
        <w:rPr>
          <w:sz w:val="24"/>
          <w:szCs w:val="24"/>
        </w:rPr>
        <w:t xml:space="preserve">correspondence that </w:t>
      </w:r>
      <w:r w:rsidR="008E1C25">
        <w:rPr>
          <w:sz w:val="24"/>
          <w:szCs w:val="24"/>
        </w:rPr>
        <w:t xml:space="preserve">he </w:t>
      </w:r>
      <w:r w:rsidR="007A46CC">
        <w:rPr>
          <w:sz w:val="24"/>
          <w:szCs w:val="24"/>
        </w:rPr>
        <w:t xml:space="preserve">had watched the full </w:t>
      </w:r>
      <w:r w:rsidR="00CE3076">
        <w:rPr>
          <w:sz w:val="24"/>
          <w:szCs w:val="24"/>
        </w:rPr>
        <w:t>Interview</w:t>
      </w:r>
      <w:r w:rsidR="00AC016C">
        <w:rPr>
          <w:sz w:val="24"/>
          <w:szCs w:val="24"/>
        </w:rPr>
        <w:t xml:space="preserve">, not merely the </w:t>
      </w:r>
      <w:r w:rsidR="003013C6">
        <w:rPr>
          <w:sz w:val="24"/>
          <w:szCs w:val="24"/>
        </w:rPr>
        <w:t>S</w:t>
      </w:r>
      <w:r w:rsidR="00AC016C">
        <w:rPr>
          <w:sz w:val="24"/>
          <w:szCs w:val="24"/>
        </w:rPr>
        <w:t>egment,</w:t>
      </w:r>
      <w:r>
        <w:rPr>
          <w:sz w:val="24"/>
          <w:szCs w:val="24"/>
        </w:rPr>
        <w:t xml:space="preserve"> and </w:t>
      </w:r>
      <w:r w:rsidR="007A46CC">
        <w:rPr>
          <w:sz w:val="24"/>
          <w:szCs w:val="24"/>
        </w:rPr>
        <w:t>commented</w:t>
      </w:r>
      <w:r w:rsidR="00CE3076">
        <w:rPr>
          <w:sz w:val="24"/>
          <w:szCs w:val="24"/>
        </w:rPr>
        <w:t xml:space="preserve">: </w:t>
      </w:r>
    </w:p>
    <w:p w14:paraId="5D9530AE" w14:textId="38C4647D" w:rsidR="00CE3076" w:rsidRDefault="00CE3076" w:rsidP="00CE3076">
      <w:pPr>
        <w:pStyle w:val="ListParagraph"/>
        <w:spacing w:before="240" w:after="240" w:line="360" w:lineRule="auto"/>
        <w:ind w:left="357"/>
        <w:contextualSpacing w:val="0"/>
        <w:rPr>
          <w:i/>
          <w:iCs/>
          <w:sz w:val="24"/>
          <w:szCs w:val="24"/>
        </w:rPr>
      </w:pPr>
      <w:r>
        <w:rPr>
          <w:i/>
          <w:iCs/>
          <w:sz w:val="24"/>
          <w:szCs w:val="24"/>
        </w:rPr>
        <w:t>“</w:t>
      </w:r>
      <w:r w:rsidRPr="00CE3076">
        <w:rPr>
          <w:i/>
          <w:iCs/>
          <w:sz w:val="24"/>
          <w:szCs w:val="24"/>
        </w:rPr>
        <w:t>If he had watched the full extract from the interview which concerned Israel/Palestine, he would know that the freedom fighter allegation is not true.</w:t>
      </w:r>
      <w:r>
        <w:rPr>
          <w:i/>
          <w:iCs/>
          <w:sz w:val="24"/>
          <w:szCs w:val="24"/>
        </w:rPr>
        <w:t>”</w:t>
      </w:r>
      <w:r w:rsidR="000029B6">
        <w:rPr>
          <w:rStyle w:val="FootnoteReference"/>
          <w:i/>
          <w:iCs/>
          <w:sz w:val="24"/>
          <w:szCs w:val="24"/>
        </w:rPr>
        <w:footnoteReference w:id="23"/>
      </w:r>
      <w:r w:rsidRPr="00CE3076">
        <w:rPr>
          <w:i/>
          <w:iCs/>
          <w:sz w:val="24"/>
          <w:szCs w:val="24"/>
        </w:rPr>
        <w:t xml:space="preserve"> </w:t>
      </w:r>
    </w:p>
    <w:p w14:paraId="442DC2F4" w14:textId="103A7533" w:rsidR="00CE3076" w:rsidRPr="00CE3076" w:rsidRDefault="00CE3076" w:rsidP="00CE3076">
      <w:pPr>
        <w:pStyle w:val="ListParagraph"/>
        <w:spacing w:before="240" w:after="240" w:line="360" w:lineRule="auto"/>
        <w:ind w:left="357"/>
        <w:contextualSpacing w:val="0"/>
        <w:rPr>
          <w:i/>
          <w:iCs/>
          <w:sz w:val="24"/>
          <w:szCs w:val="24"/>
        </w:rPr>
      </w:pPr>
      <w:r>
        <w:rPr>
          <w:i/>
          <w:iCs/>
          <w:sz w:val="24"/>
          <w:szCs w:val="24"/>
        </w:rPr>
        <w:t>“</w:t>
      </w:r>
      <w:r w:rsidRPr="00CE3076">
        <w:rPr>
          <w:i/>
          <w:iCs/>
          <w:sz w:val="24"/>
          <w:szCs w:val="24"/>
        </w:rPr>
        <w:t xml:space="preserve">Again, how could Lord Bailey have reached this conclusion if he had listened to or watched the </w:t>
      </w:r>
      <w:r>
        <w:rPr>
          <w:i/>
          <w:iCs/>
          <w:sz w:val="24"/>
          <w:szCs w:val="24"/>
        </w:rPr>
        <w:t xml:space="preserve">[full] </w:t>
      </w:r>
      <w:r w:rsidRPr="00CE3076">
        <w:rPr>
          <w:i/>
          <w:iCs/>
          <w:sz w:val="24"/>
          <w:szCs w:val="24"/>
        </w:rPr>
        <w:t>interview?</w:t>
      </w:r>
      <w:r>
        <w:rPr>
          <w:i/>
          <w:iCs/>
          <w:sz w:val="24"/>
          <w:szCs w:val="24"/>
        </w:rPr>
        <w:t>”</w:t>
      </w:r>
      <w:r w:rsidR="000029B6">
        <w:rPr>
          <w:rStyle w:val="FootnoteReference"/>
          <w:i/>
          <w:iCs/>
          <w:sz w:val="24"/>
          <w:szCs w:val="24"/>
        </w:rPr>
        <w:footnoteReference w:id="24"/>
      </w:r>
      <w:r w:rsidRPr="00CE3076">
        <w:rPr>
          <w:i/>
          <w:iCs/>
          <w:sz w:val="24"/>
          <w:szCs w:val="24"/>
        </w:rPr>
        <w:t xml:space="preserve">  </w:t>
      </w:r>
    </w:p>
    <w:p w14:paraId="1308CB39" w14:textId="1FA21DAE" w:rsidR="007A46CC" w:rsidRDefault="00CE3076"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It was unclear </w:t>
      </w:r>
      <w:r w:rsidR="00951E79">
        <w:rPr>
          <w:sz w:val="24"/>
          <w:szCs w:val="24"/>
        </w:rPr>
        <w:t xml:space="preserve">from the statement </w:t>
      </w:r>
      <w:r>
        <w:rPr>
          <w:sz w:val="24"/>
          <w:szCs w:val="24"/>
        </w:rPr>
        <w:t xml:space="preserve">whether C was </w:t>
      </w:r>
      <w:r w:rsidR="007A46CC">
        <w:rPr>
          <w:sz w:val="24"/>
          <w:szCs w:val="24"/>
        </w:rPr>
        <w:t xml:space="preserve">doubting </w:t>
      </w:r>
      <w:r>
        <w:rPr>
          <w:sz w:val="24"/>
          <w:szCs w:val="24"/>
        </w:rPr>
        <w:t xml:space="preserve">that D had seen the full Interview </w:t>
      </w:r>
      <w:r w:rsidR="007A46CC">
        <w:rPr>
          <w:sz w:val="24"/>
          <w:szCs w:val="24"/>
        </w:rPr>
        <w:t xml:space="preserve">or </w:t>
      </w:r>
      <w:r w:rsidR="00C320F6">
        <w:rPr>
          <w:sz w:val="24"/>
          <w:szCs w:val="24"/>
        </w:rPr>
        <w:t xml:space="preserve">accepting that he had and contending he </w:t>
      </w:r>
      <w:r w:rsidR="007A46CC">
        <w:rPr>
          <w:sz w:val="24"/>
          <w:szCs w:val="24"/>
        </w:rPr>
        <w:t xml:space="preserve">could not therefore have </w:t>
      </w:r>
      <w:r w:rsidR="00255346">
        <w:rPr>
          <w:sz w:val="24"/>
          <w:szCs w:val="24"/>
        </w:rPr>
        <w:t xml:space="preserve">held </w:t>
      </w:r>
      <w:r w:rsidR="007A46CC">
        <w:rPr>
          <w:sz w:val="24"/>
          <w:szCs w:val="24"/>
        </w:rPr>
        <w:t xml:space="preserve">the Opinion.  Either way, the premise was that a person who had only seen the </w:t>
      </w:r>
      <w:r w:rsidR="000C0D13">
        <w:rPr>
          <w:sz w:val="24"/>
          <w:szCs w:val="24"/>
        </w:rPr>
        <w:t>S</w:t>
      </w:r>
      <w:r w:rsidR="007A46CC">
        <w:rPr>
          <w:sz w:val="24"/>
          <w:szCs w:val="24"/>
        </w:rPr>
        <w:t xml:space="preserve">egment could </w:t>
      </w:r>
      <w:r w:rsidR="00951E79">
        <w:rPr>
          <w:sz w:val="24"/>
          <w:szCs w:val="24"/>
        </w:rPr>
        <w:t xml:space="preserve">hold </w:t>
      </w:r>
      <w:r w:rsidR="007A46CC">
        <w:rPr>
          <w:sz w:val="24"/>
          <w:szCs w:val="24"/>
        </w:rPr>
        <w:t xml:space="preserve">the Opinion and </w:t>
      </w:r>
      <w:r w:rsidR="0061743D">
        <w:rPr>
          <w:sz w:val="24"/>
          <w:szCs w:val="24"/>
        </w:rPr>
        <w:t xml:space="preserve">a </w:t>
      </w:r>
      <w:r w:rsidR="007A46CC">
        <w:rPr>
          <w:sz w:val="24"/>
          <w:szCs w:val="24"/>
        </w:rPr>
        <w:t xml:space="preserve">person who had seen the full Interview could not. </w:t>
      </w:r>
    </w:p>
    <w:p w14:paraId="350A61F4" w14:textId="58FBD65B" w:rsidR="003615C9" w:rsidRDefault="00EF7886"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The witness statement of C’s solicitor indicated that </w:t>
      </w:r>
      <w:r w:rsidRPr="004D5FA0">
        <w:rPr>
          <w:sz w:val="24"/>
          <w:szCs w:val="24"/>
        </w:rPr>
        <w:t>the Interview had not elicited any significant media interest when first broadcast.</w:t>
      </w:r>
      <w:r>
        <w:rPr>
          <w:sz w:val="24"/>
          <w:szCs w:val="24"/>
        </w:rPr>
        <w:t xml:space="preserve"> The relevance of this was unclear. </w:t>
      </w:r>
      <w:r w:rsidRPr="004D5FA0">
        <w:rPr>
          <w:sz w:val="24"/>
          <w:szCs w:val="24"/>
        </w:rPr>
        <w:t xml:space="preserve">There was no suggestion that </w:t>
      </w:r>
      <w:r>
        <w:rPr>
          <w:sz w:val="24"/>
          <w:szCs w:val="24"/>
        </w:rPr>
        <w:t xml:space="preserve">the Interview </w:t>
      </w:r>
      <w:r w:rsidRPr="004D5FA0">
        <w:rPr>
          <w:sz w:val="24"/>
          <w:szCs w:val="24"/>
        </w:rPr>
        <w:t>was difficult to access online from the Times Facebook page.</w:t>
      </w:r>
    </w:p>
    <w:p w14:paraId="1C9F7C3F" w14:textId="142D05B6" w:rsidR="00951E79" w:rsidRDefault="00EF7886" w:rsidP="00951E79">
      <w:pPr>
        <w:pStyle w:val="ListParagraph"/>
        <w:numPr>
          <w:ilvl w:val="0"/>
          <w:numId w:val="1"/>
        </w:numPr>
        <w:spacing w:before="240" w:after="240" w:line="360" w:lineRule="auto"/>
        <w:rPr>
          <w:sz w:val="24"/>
          <w:szCs w:val="24"/>
        </w:rPr>
      </w:pPr>
      <w:r w:rsidRPr="00951E79">
        <w:rPr>
          <w:sz w:val="24"/>
          <w:szCs w:val="24"/>
        </w:rPr>
        <w:t xml:space="preserve">The </w:t>
      </w:r>
      <w:r w:rsidR="0061743D">
        <w:rPr>
          <w:sz w:val="24"/>
          <w:szCs w:val="24"/>
        </w:rPr>
        <w:t>S</w:t>
      </w:r>
      <w:r w:rsidR="00B12FF2" w:rsidRPr="00951E79">
        <w:rPr>
          <w:sz w:val="24"/>
          <w:szCs w:val="24"/>
        </w:rPr>
        <w:t xml:space="preserve">egment allegation </w:t>
      </w:r>
      <w:r w:rsidR="00951E79" w:rsidRPr="00951E79">
        <w:rPr>
          <w:sz w:val="24"/>
          <w:szCs w:val="24"/>
        </w:rPr>
        <w:t xml:space="preserve">explicitly </w:t>
      </w:r>
      <w:r w:rsidRPr="00951E79">
        <w:rPr>
          <w:sz w:val="24"/>
          <w:szCs w:val="24"/>
        </w:rPr>
        <w:t xml:space="preserve">arose </w:t>
      </w:r>
      <w:r w:rsidR="00951E79" w:rsidRPr="00951E79">
        <w:rPr>
          <w:sz w:val="24"/>
          <w:szCs w:val="24"/>
        </w:rPr>
        <w:t xml:space="preserve">for the first time </w:t>
      </w:r>
      <w:r w:rsidRPr="00951E79">
        <w:rPr>
          <w:sz w:val="24"/>
          <w:szCs w:val="24"/>
        </w:rPr>
        <w:t xml:space="preserve">in </w:t>
      </w:r>
      <w:r w:rsidR="00CE0481" w:rsidRPr="00951E79">
        <w:rPr>
          <w:sz w:val="24"/>
          <w:szCs w:val="24"/>
        </w:rPr>
        <w:t xml:space="preserve">C’s SA </w:t>
      </w:r>
      <w:r w:rsidRPr="00951E79">
        <w:rPr>
          <w:sz w:val="24"/>
          <w:szCs w:val="24"/>
        </w:rPr>
        <w:t>which included at [95.2]: “</w:t>
      </w:r>
      <w:r w:rsidRPr="00951E79">
        <w:rPr>
          <w:i/>
          <w:iCs/>
          <w:sz w:val="24"/>
          <w:szCs w:val="24"/>
        </w:rPr>
        <w:t>C may contend that in fact the D never listened to the [full] interview</w:t>
      </w:r>
      <w:r w:rsidRPr="00951E79">
        <w:rPr>
          <w:sz w:val="24"/>
          <w:szCs w:val="24"/>
        </w:rPr>
        <w:t xml:space="preserve">”. </w:t>
      </w:r>
      <w:r w:rsidR="00CE0481" w:rsidRPr="00951E79">
        <w:rPr>
          <w:sz w:val="24"/>
          <w:szCs w:val="24"/>
        </w:rPr>
        <w:t xml:space="preserve">The submission that </w:t>
      </w:r>
      <w:r w:rsidR="00B12FF2" w:rsidRPr="00951E79">
        <w:rPr>
          <w:sz w:val="24"/>
          <w:szCs w:val="24"/>
        </w:rPr>
        <w:t xml:space="preserve">C </w:t>
      </w:r>
      <w:r w:rsidR="00CE0481" w:rsidRPr="00951E79">
        <w:rPr>
          <w:sz w:val="24"/>
          <w:szCs w:val="24"/>
        </w:rPr>
        <w:t>appeared to be making was that an opinion had to be “</w:t>
      </w:r>
      <w:r w:rsidR="00CE0481" w:rsidRPr="00951E79">
        <w:rPr>
          <w:i/>
          <w:iCs/>
          <w:sz w:val="24"/>
          <w:szCs w:val="24"/>
        </w:rPr>
        <w:t>fully informed</w:t>
      </w:r>
      <w:r w:rsidR="00CE0481" w:rsidRPr="00951E79">
        <w:rPr>
          <w:sz w:val="24"/>
          <w:szCs w:val="24"/>
        </w:rPr>
        <w:t xml:space="preserve">” in order to be honest opinion and that if </w:t>
      </w:r>
      <w:r w:rsidR="00B12FF2" w:rsidRPr="00951E79">
        <w:rPr>
          <w:sz w:val="24"/>
          <w:szCs w:val="24"/>
        </w:rPr>
        <w:t xml:space="preserve">D </w:t>
      </w:r>
      <w:r w:rsidR="00CE0481" w:rsidRPr="00951E79">
        <w:rPr>
          <w:sz w:val="24"/>
          <w:szCs w:val="24"/>
        </w:rPr>
        <w:t xml:space="preserve">had only seen the </w:t>
      </w:r>
      <w:r w:rsidR="000C0D13">
        <w:rPr>
          <w:sz w:val="24"/>
          <w:szCs w:val="24"/>
        </w:rPr>
        <w:t>S</w:t>
      </w:r>
      <w:r w:rsidR="00CE0481" w:rsidRPr="00951E79">
        <w:rPr>
          <w:sz w:val="24"/>
          <w:szCs w:val="24"/>
        </w:rPr>
        <w:t xml:space="preserve">egment his interpretation of it would not be fully </w:t>
      </w:r>
      <w:r w:rsidR="001A5EEB">
        <w:rPr>
          <w:sz w:val="24"/>
          <w:szCs w:val="24"/>
        </w:rPr>
        <w:t>in</w:t>
      </w:r>
      <w:r w:rsidR="00CE0481" w:rsidRPr="00951E79">
        <w:rPr>
          <w:sz w:val="24"/>
          <w:szCs w:val="24"/>
        </w:rPr>
        <w:t>formed because it omitted the alleged knockout blows. Such a submission would be flawed</w:t>
      </w:r>
      <w:r w:rsidR="00B12FF2" w:rsidRPr="00951E79">
        <w:rPr>
          <w:sz w:val="24"/>
          <w:szCs w:val="24"/>
        </w:rPr>
        <w:t xml:space="preserve"> in principle</w:t>
      </w:r>
      <w:r w:rsidR="00CE0481" w:rsidRPr="00951E79">
        <w:rPr>
          <w:sz w:val="24"/>
          <w:szCs w:val="24"/>
        </w:rPr>
        <w:t xml:space="preserve">.  S.3(4) does not impose any obligation to carry out reasonable research. S.3(5) is only concerned with whether the defendant held the opinion.  </w:t>
      </w:r>
      <w:r w:rsidR="00951E79" w:rsidRPr="00967894">
        <w:rPr>
          <w:sz w:val="24"/>
          <w:szCs w:val="24"/>
        </w:rPr>
        <w:t xml:space="preserve">If a defendant </w:t>
      </w:r>
      <w:r w:rsidR="00951E79">
        <w:rPr>
          <w:sz w:val="24"/>
          <w:szCs w:val="24"/>
        </w:rPr>
        <w:t xml:space="preserve">is wholly </w:t>
      </w:r>
      <w:r w:rsidR="00951E79" w:rsidRPr="00967894">
        <w:rPr>
          <w:sz w:val="24"/>
          <w:szCs w:val="24"/>
        </w:rPr>
        <w:t>unaware of the claimant’s words but purport</w:t>
      </w:r>
      <w:r w:rsidR="00951E79">
        <w:rPr>
          <w:sz w:val="24"/>
          <w:szCs w:val="24"/>
        </w:rPr>
        <w:t>s</w:t>
      </w:r>
      <w:r w:rsidR="00951E79" w:rsidRPr="00967894">
        <w:rPr>
          <w:sz w:val="24"/>
          <w:szCs w:val="24"/>
        </w:rPr>
        <w:t xml:space="preserve"> to express </w:t>
      </w:r>
      <w:r w:rsidR="0061743D">
        <w:rPr>
          <w:sz w:val="24"/>
          <w:szCs w:val="24"/>
        </w:rPr>
        <w:t xml:space="preserve">an </w:t>
      </w:r>
      <w:r w:rsidR="00951E79" w:rsidRPr="00967894">
        <w:rPr>
          <w:sz w:val="24"/>
          <w:szCs w:val="24"/>
        </w:rPr>
        <w:t xml:space="preserve">opinion </w:t>
      </w:r>
      <w:r w:rsidR="00951E79">
        <w:rPr>
          <w:sz w:val="24"/>
          <w:szCs w:val="24"/>
        </w:rPr>
        <w:t xml:space="preserve">on </w:t>
      </w:r>
      <w:r w:rsidR="00951E79" w:rsidRPr="00967894">
        <w:rPr>
          <w:sz w:val="24"/>
          <w:szCs w:val="24"/>
        </w:rPr>
        <w:t xml:space="preserve">them, a s.3(5) case may be viable.  However, </w:t>
      </w:r>
      <w:r w:rsidR="00951E79">
        <w:rPr>
          <w:sz w:val="24"/>
          <w:szCs w:val="24"/>
        </w:rPr>
        <w:t xml:space="preserve">C </w:t>
      </w:r>
      <w:r w:rsidR="00951E79" w:rsidRPr="00967894">
        <w:rPr>
          <w:sz w:val="24"/>
          <w:szCs w:val="24"/>
        </w:rPr>
        <w:t xml:space="preserve">accepted that </w:t>
      </w:r>
      <w:r w:rsidR="00951E79">
        <w:rPr>
          <w:sz w:val="24"/>
          <w:szCs w:val="24"/>
        </w:rPr>
        <w:t xml:space="preserve">D </w:t>
      </w:r>
      <w:r w:rsidR="00951E79" w:rsidRPr="00967894">
        <w:rPr>
          <w:sz w:val="24"/>
          <w:szCs w:val="24"/>
        </w:rPr>
        <w:t xml:space="preserve">had, at least, seen the </w:t>
      </w:r>
      <w:r w:rsidR="0061743D">
        <w:rPr>
          <w:sz w:val="24"/>
          <w:szCs w:val="24"/>
        </w:rPr>
        <w:t>S</w:t>
      </w:r>
      <w:r w:rsidR="00951E79" w:rsidRPr="00967894">
        <w:rPr>
          <w:sz w:val="24"/>
          <w:szCs w:val="24"/>
        </w:rPr>
        <w:t xml:space="preserve">egment. </w:t>
      </w:r>
    </w:p>
    <w:p w14:paraId="2EA944ED" w14:textId="77777777" w:rsidR="00CE0481" w:rsidRPr="00CE0481" w:rsidRDefault="00CE0481" w:rsidP="00CE0481">
      <w:pPr>
        <w:pStyle w:val="ListParagraph"/>
        <w:rPr>
          <w:sz w:val="24"/>
          <w:szCs w:val="24"/>
        </w:rPr>
      </w:pPr>
    </w:p>
    <w:p w14:paraId="670D8DF0" w14:textId="589E87D4" w:rsidR="00B12FF2" w:rsidRDefault="00CE0481" w:rsidP="00EF7886">
      <w:pPr>
        <w:pStyle w:val="ListParagraph"/>
        <w:numPr>
          <w:ilvl w:val="0"/>
          <w:numId w:val="1"/>
        </w:numPr>
        <w:spacing w:before="240" w:after="240" w:line="360" w:lineRule="auto"/>
        <w:rPr>
          <w:sz w:val="24"/>
          <w:szCs w:val="24"/>
        </w:rPr>
      </w:pPr>
      <w:r>
        <w:rPr>
          <w:sz w:val="24"/>
          <w:szCs w:val="24"/>
        </w:rPr>
        <w:t xml:space="preserve">This was pointed out in D’s Note of 7/11 in response to C’s SA. </w:t>
      </w:r>
      <w:r w:rsidR="00B12FF2">
        <w:rPr>
          <w:sz w:val="24"/>
          <w:szCs w:val="24"/>
        </w:rPr>
        <w:t xml:space="preserve">Notwithstanding this, C’s counsel persisted at the hearing in indicating an apparent intention to make the </w:t>
      </w:r>
      <w:r w:rsidR="000029B6">
        <w:rPr>
          <w:sz w:val="24"/>
          <w:szCs w:val="24"/>
        </w:rPr>
        <w:t>S</w:t>
      </w:r>
      <w:r w:rsidR="00B12FF2">
        <w:rPr>
          <w:sz w:val="24"/>
          <w:szCs w:val="24"/>
        </w:rPr>
        <w:t xml:space="preserve">egment allegation, without addressing its relevance.  The Judge did not question its relevance, nor is it addressed in the judgment.  [119] merely finds that </w:t>
      </w:r>
      <w:r w:rsidR="0061743D">
        <w:rPr>
          <w:sz w:val="24"/>
          <w:szCs w:val="24"/>
        </w:rPr>
        <w:t xml:space="preserve">it is not </w:t>
      </w:r>
      <w:r w:rsidR="00B12FF2">
        <w:rPr>
          <w:sz w:val="24"/>
          <w:szCs w:val="24"/>
        </w:rPr>
        <w:t>“</w:t>
      </w:r>
      <w:r w:rsidR="00B12FF2" w:rsidRPr="00CE3076">
        <w:rPr>
          <w:i/>
          <w:iCs/>
          <w:sz w:val="24"/>
          <w:szCs w:val="24"/>
        </w:rPr>
        <w:t>necessary or possible at this interim stage to make any findings as to whether Lord Bailey watched the entirety of the Times Radio interview</w:t>
      </w:r>
      <w:r w:rsidR="00B12FF2">
        <w:rPr>
          <w:sz w:val="24"/>
          <w:szCs w:val="24"/>
        </w:rPr>
        <w:t xml:space="preserve">”. </w:t>
      </w:r>
    </w:p>
    <w:p w14:paraId="27B4CF41" w14:textId="77777777" w:rsidR="00951E79" w:rsidRPr="00951E79" w:rsidRDefault="00951E79" w:rsidP="00951E79">
      <w:pPr>
        <w:pStyle w:val="ListParagraph"/>
        <w:rPr>
          <w:sz w:val="24"/>
          <w:szCs w:val="24"/>
        </w:rPr>
      </w:pPr>
    </w:p>
    <w:p w14:paraId="4513E7EA" w14:textId="0A4CBEDE" w:rsidR="00951E79" w:rsidRDefault="00951E79" w:rsidP="00EF7886">
      <w:pPr>
        <w:pStyle w:val="ListParagraph"/>
        <w:numPr>
          <w:ilvl w:val="0"/>
          <w:numId w:val="1"/>
        </w:numPr>
        <w:spacing w:before="240" w:after="240" w:line="360" w:lineRule="auto"/>
        <w:rPr>
          <w:sz w:val="24"/>
          <w:szCs w:val="24"/>
        </w:rPr>
      </w:pPr>
      <w:r>
        <w:rPr>
          <w:sz w:val="24"/>
          <w:szCs w:val="24"/>
        </w:rPr>
        <w:t>Given the above</w:t>
      </w:r>
      <w:r w:rsidR="0061743D">
        <w:rPr>
          <w:sz w:val="24"/>
          <w:szCs w:val="24"/>
        </w:rPr>
        <w:t>,</w:t>
      </w:r>
      <w:r>
        <w:rPr>
          <w:sz w:val="24"/>
          <w:szCs w:val="24"/>
        </w:rPr>
        <w:t xml:space="preserve"> there is no need to </w:t>
      </w:r>
      <w:r w:rsidR="00AC016C">
        <w:rPr>
          <w:sz w:val="24"/>
          <w:szCs w:val="24"/>
        </w:rPr>
        <w:t>expand on what i</w:t>
      </w:r>
      <w:r w:rsidR="0061743D">
        <w:rPr>
          <w:sz w:val="24"/>
          <w:szCs w:val="24"/>
        </w:rPr>
        <w:t>s</w:t>
      </w:r>
      <w:r w:rsidR="00AC016C">
        <w:rPr>
          <w:sz w:val="24"/>
          <w:szCs w:val="24"/>
        </w:rPr>
        <w:t xml:space="preserve"> set out in GOA [3.3] to [3.5] as to the absence of any prospect of the </w:t>
      </w:r>
      <w:r w:rsidR="000029B6">
        <w:rPr>
          <w:sz w:val="24"/>
          <w:szCs w:val="24"/>
        </w:rPr>
        <w:t>S</w:t>
      </w:r>
      <w:r w:rsidR="00AC016C">
        <w:rPr>
          <w:sz w:val="24"/>
          <w:szCs w:val="24"/>
        </w:rPr>
        <w:t xml:space="preserve">egment allegation being proved at trial.  </w:t>
      </w:r>
      <w:r w:rsidR="00ED08B6">
        <w:rPr>
          <w:sz w:val="24"/>
          <w:szCs w:val="24"/>
        </w:rPr>
        <w:t>T</w:t>
      </w:r>
      <w:r w:rsidR="00AC016C">
        <w:rPr>
          <w:sz w:val="24"/>
          <w:szCs w:val="24"/>
        </w:rPr>
        <w:t>he grounds raise important issues of principle</w:t>
      </w:r>
      <w:r w:rsidR="00A31276">
        <w:rPr>
          <w:sz w:val="24"/>
          <w:szCs w:val="24"/>
        </w:rPr>
        <w:t xml:space="preserve"> in relation to primary facts </w:t>
      </w:r>
      <w:r w:rsidR="0014018A">
        <w:rPr>
          <w:sz w:val="24"/>
          <w:szCs w:val="24"/>
        </w:rPr>
        <w:t xml:space="preserve">sought to be inferred by the claimant </w:t>
      </w:r>
      <w:r w:rsidR="00A31276">
        <w:rPr>
          <w:sz w:val="24"/>
          <w:szCs w:val="24"/>
        </w:rPr>
        <w:t>for the purposes of s.3(5)</w:t>
      </w:r>
      <w:r w:rsidR="0014018A">
        <w:rPr>
          <w:sz w:val="24"/>
          <w:szCs w:val="24"/>
        </w:rPr>
        <w:t xml:space="preserve"> in the face of direct evidence from the defendant</w:t>
      </w:r>
      <w:r w:rsidR="00A31276">
        <w:rPr>
          <w:sz w:val="24"/>
          <w:szCs w:val="24"/>
        </w:rPr>
        <w:t xml:space="preserve">. However, for the reasons previously stated, the </w:t>
      </w:r>
      <w:r w:rsidR="000029B6">
        <w:rPr>
          <w:sz w:val="24"/>
          <w:szCs w:val="24"/>
        </w:rPr>
        <w:t>S</w:t>
      </w:r>
      <w:r w:rsidR="00AC016C">
        <w:rPr>
          <w:sz w:val="24"/>
          <w:szCs w:val="24"/>
        </w:rPr>
        <w:t xml:space="preserve">egment allegation is an unnecessary distraction and ought to have been recognised as such by the Judge. </w:t>
      </w:r>
    </w:p>
    <w:p w14:paraId="5A948864" w14:textId="78C11813" w:rsidR="005B45DE" w:rsidRPr="00771D5C" w:rsidRDefault="00771D5C" w:rsidP="00771D5C">
      <w:pPr>
        <w:spacing w:before="240" w:after="240" w:line="360" w:lineRule="auto"/>
        <w:rPr>
          <w:b/>
          <w:bCs/>
          <w:sz w:val="24"/>
          <w:szCs w:val="24"/>
        </w:rPr>
      </w:pPr>
      <w:bookmarkStart w:id="12" w:name="_Hlk194496742"/>
      <w:r w:rsidRPr="00771D5C">
        <w:rPr>
          <w:b/>
          <w:bCs/>
          <w:sz w:val="24"/>
          <w:szCs w:val="24"/>
        </w:rPr>
        <w:t>GOA[4] – s.2</w:t>
      </w:r>
      <w:r w:rsidR="00620D1C">
        <w:rPr>
          <w:b/>
          <w:bCs/>
          <w:sz w:val="24"/>
          <w:szCs w:val="24"/>
        </w:rPr>
        <w:t xml:space="preserve"> errors of principle</w:t>
      </w:r>
    </w:p>
    <w:bookmarkEnd w:id="12"/>
    <w:p w14:paraId="2342819C" w14:textId="71BB30F5" w:rsidR="00771D5C" w:rsidRDefault="00771D5C" w:rsidP="00CB0DD7">
      <w:pPr>
        <w:pStyle w:val="ListParagraph"/>
        <w:numPr>
          <w:ilvl w:val="0"/>
          <w:numId w:val="1"/>
        </w:numPr>
        <w:spacing w:before="240" w:after="240" w:line="360" w:lineRule="auto"/>
        <w:rPr>
          <w:sz w:val="24"/>
          <w:szCs w:val="24"/>
        </w:rPr>
      </w:pPr>
      <w:r w:rsidRPr="00771D5C">
        <w:rPr>
          <w:sz w:val="24"/>
          <w:szCs w:val="24"/>
        </w:rPr>
        <w:t xml:space="preserve">This incorporates the case in GOA[2] that the Opinion was a reasonable interpretation of the Answer in the context of </w:t>
      </w:r>
      <w:r w:rsidR="0061743D">
        <w:rPr>
          <w:sz w:val="24"/>
          <w:szCs w:val="24"/>
        </w:rPr>
        <w:t xml:space="preserve">the </w:t>
      </w:r>
      <w:r w:rsidRPr="00771D5C">
        <w:rPr>
          <w:sz w:val="24"/>
          <w:szCs w:val="24"/>
        </w:rPr>
        <w:t xml:space="preserve">Interview.  </w:t>
      </w:r>
      <w:r>
        <w:rPr>
          <w:sz w:val="24"/>
          <w:szCs w:val="24"/>
        </w:rPr>
        <w:t xml:space="preserve"> </w:t>
      </w:r>
      <w:r w:rsidR="00CB0DD7">
        <w:rPr>
          <w:sz w:val="24"/>
          <w:szCs w:val="24"/>
        </w:rPr>
        <w:t xml:space="preserve">In addition, it </w:t>
      </w:r>
      <w:r w:rsidRPr="00771D5C">
        <w:rPr>
          <w:sz w:val="24"/>
          <w:szCs w:val="24"/>
        </w:rPr>
        <w:t xml:space="preserve">raises two errors of principle </w:t>
      </w:r>
      <w:r w:rsidR="00416A4C">
        <w:rPr>
          <w:sz w:val="24"/>
          <w:szCs w:val="24"/>
        </w:rPr>
        <w:t xml:space="preserve">in [4.2] </w:t>
      </w:r>
      <w:r w:rsidRPr="00771D5C">
        <w:rPr>
          <w:sz w:val="24"/>
          <w:szCs w:val="24"/>
        </w:rPr>
        <w:t xml:space="preserve">that may benefit from elaboration. </w:t>
      </w:r>
      <w:r w:rsidR="00416A4C">
        <w:rPr>
          <w:sz w:val="24"/>
          <w:szCs w:val="24"/>
        </w:rPr>
        <w:t xml:space="preserve"> First, the failure to engage with the draft s.2 defence. Second, the failure to find that the Opinion was a perverse interpretation of the Interview. </w:t>
      </w:r>
    </w:p>
    <w:p w14:paraId="258A710E" w14:textId="77777777" w:rsidR="00CB0DD7" w:rsidRDefault="00CB0DD7" w:rsidP="00CB0DD7">
      <w:pPr>
        <w:pStyle w:val="ListParagraph"/>
        <w:spacing w:before="240" w:after="240" w:line="360" w:lineRule="auto"/>
        <w:ind w:left="360"/>
        <w:rPr>
          <w:sz w:val="24"/>
          <w:szCs w:val="24"/>
        </w:rPr>
      </w:pPr>
    </w:p>
    <w:p w14:paraId="78BB4A5F" w14:textId="3B49BE13" w:rsidR="00CB0DD7" w:rsidRDefault="00CB0DD7" w:rsidP="00CB0DD7">
      <w:pPr>
        <w:pStyle w:val="ListParagraph"/>
        <w:numPr>
          <w:ilvl w:val="0"/>
          <w:numId w:val="1"/>
        </w:numPr>
        <w:spacing w:before="240" w:after="240" w:line="360" w:lineRule="auto"/>
        <w:contextualSpacing w:val="0"/>
        <w:rPr>
          <w:sz w:val="24"/>
          <w:szCs w:val="24"/>
        </w:rPr>
      </w:pPr>
      <w:r>
        <w:rPr>
          <w:sz w:val="24"/>
          <w:szCs w:val="24"/>
        </w:rPr>
        <w:t>S.2</w:t>
      </w:r>
      <w:r w:rsidRPr="00143434">
        <w:rPr>
          <w:sz w:val="24"/>
          <w:szCs w:val="24"/>
        </w:rPr>
        <w:t>(1)</w:t>
      </w:r>
      <w:r>
        <w:rPr>
          <w:sz w:val="24"/>
          <w:szCs w:val="24"/>
        </w:rPr>
        <w:t xml:space="preserve"> provides: “</w:t>
      </w:r>
      <w:r w:rsidRPr="00143434">
        <w:rPr>
          <w:i/>
          <w:iCs/>
          <w:sz w:val="24"/>
          <w:szCs w:val="24"/>
        </w:rPr>
        <w:t>It is a defence to an action for defamation for the defendant to show that the imputation conveyed by the statement complained of is substantially true</w:t>
      </w:r>
      <w:r>
        <w:rPr>
          <w:sz w:val="24"/>
          <w:szCs w:val="24"/>
        </w:rPr>
        <w:t>”</w:t>
      </w:r>
      <w:r w:rsidRPr="00143434">
        <w:rPr>
          <w:sz w:val="24"/>
          <w:szCs w:val="24"/>
        </w:rPr>
        <w:t>.</w:t>
      </w:r>
      <w:r>
        <w:rPr>
          <w:sz w:val="24"/>
          <w:szCs w:val="24"/>
        </w:rPr>
        <w:t xml:space="preserve">  It may be stating the obvious</w:t>
      </w:r>
      <w:r w:rsidR="0061743D">
        <w:rPr>
          <w:sz w:val="24"/>
          <w:szCs w:val="24"/>
        </w:rPr>
        <w:t>,</w:t>
      </w:r>
      <w:r>
        <w:rPr>
          <w:sz w:val="24"/>
          <w:szCs w:val="24"/>
        </w:rPr>
        <w:t xml:space="preserve"> but whether the imputation is shown to be </w:t>
      </w:r>
      <w:r w:rsidRPr="00143434">
        <w:rPr>
          <w:sz w:val="24"/>
          <w:szCs w:val="24"/>
        </w:rPr>
        <w:t>substantially true</w:t>
      </w:r>
      <w:r>
        <w:rPr>
          <w:sz w:val="24"/>
          <w:szCs w:val="24"/>
        </w:rPr>
        <w:t xml:space="preserve"> is determined by the way in which the defendant seeks to </w:t>
      </w:r>
      <w:r w:rsidR="00C11D6E">
        <w:rPr>
          <w:sz w:val="24"/>
          <w:szCs w:val="24"/>
        </w:rPr>
        <w:t>show it</w:t>
      </w:r>
      <w:r>
        <w:rPr>
          <w:sz w:val="24"/>
          <w:szCs w:val="24"/>
        </w:rPr>
        <w:t xml:space="preserve">.  A finding that </w:t>
      </w:r>
      <w:r w:rsidR="007B09A2">
        <w:rPr>
          <w:sz w:val="24"/>
          <w:szCs w:val="24"/>
        </w:rPr>
        <w:t xml:space="preserve">an imputation </w:t>
      </w:r>
      <w:r>
        <w:rPr>
          <w:sz w:val="24"/>
          <w:szCs w:val="24"/>
        </w:rPr>
        <w:t xml:space="preserve">is not substantially true requires engagement with </w:t>
      </w:r>
      <w:r w:rsidR="00255346">
        <w:rPr>
          <w:sz w:val="24"/>
          <w:szCs w:val="24"/>
        </w:rPr>
        <w:t xml:space="preserve">and rejection of </w:t>
      </w:r>
      <w:r>
        <w:rPr>
          <w:sz w:val="24"/>
          <w:szCs w:val="24"/>
        </w:rPr>
        <w:t xml:space="preserve">the material elements of D’s case. </w:t>
      </w:r>
    </w:p>
    <w:p w14:paraId="442115CC" w14:textId="170DBFB6" w:rsidR="00CB0DD7" w:rsidRDefault="00CB0DD7" w:rsidP="00CB0DD7">
      <w:pPr>
        <w:pStyle w:val="ListParagraph"/>
        <w:numPr>
          <w:ilvl w:val="0"/>
          <w:numId w:val="1"/>
        </w:numPr>
        <w:spacing w:before="240" w:after="240" w:line="360" w:lineRule="auto"/>
        <w:contextualSpacing w:val="0"/>
        <w:rPr>
          <w:sz w:val="24"/>
          <w:szCs w:val="24"/>
        </w:rPr>
      </w:pPr>
      <w:r>
        <w:rPr>
          <w:sz w:val="24"/>
          <w:szCs w:val="24"/>
        </w:rPr>
        <w:t>A court may determine s.2 in favour of a defendant without a formal defence being served if the case is sufficiently clear.</w:t>
      </w:r>
      <w:r w:rsidR="007B09A2">
        <w:rPr>
          <w:rStyle w:val="FootnoteReference"/>
          <w:sz w:val="24"/>
          <w:szCs w:val="24"/>
        </w:rPr>
        <w:footnoteReference w:id="25"/>
      </w:r>
      <w:r>
        <w:rPr>
          <w:sz w:val="24"/>
          <w:szCs w:val="24"/>
        </w:rPr>
        <w:t xml:space="preserve">  Where the defendant has served a </w:t>
      </w:r>
      <w:r w:rsidR="007B09A2">
        <w:rPr>
          <w:sz w:val="24"/>
          <w:szCs w:val="24"/>
        </w:rPr>
        <w:t>d</w:t>
      </w:r>
      <w:r>
        <w:rPr>
          <w:sz w:val="24"/>
          <w:szCs w:val="24"/>
        </w:rPr>
        <w:t xml:space="preserve">efence any rejection of s.2 must be directed to the case as set out in it. </w:t>
      </w:r>
    </w:p>
    <w:p w14:paraId="02508C93" w14:textId="6123FA71" w:rsidR="00CB0DD7" w:rsidRPr="00C11D6E" w:rsidRDefault="00CB0DD7" w:rsidP="00647F5D">
      <w:pPr>
        <w:pStyle w:val="ListParagraph"/>
        <w:numPr>
          <w:ilvl w:val="0"/>
          <w:numId w:val="1"/>
        </w:numPr>
        <w:spacing w:before="240" w:after="240" w:line="360" w:lineRule="auto"/>
        <w:contextualSpacing w:val="0"/>
        <w:rPr>
          <w:sz w:val="24"/>
          <w:szCs w:val="24"/>
        </w:rPr>
      </w:pPr>
      <w:r w:rsidRPr="00C11D6E">
        <w:rPr>
          <w:sz w:val="24"/>
          <w:szCs w:val="24"/>
        </w:rPr>
        <w:t>D served a complete substantive s.2 (and s.3) draft Defence with the SJ application. The basis of the application was stated to be the relevant paragraphs of the draft Defence.</w:t>
      </w:r>
      <w:r>
        <w:rPr>
          <w:rStyle w:val="FootnoteReference"/>
          <w:sz w:val="24"/>
          <w:szCs w:val="24"/>
        </w:rPr>
        <w:footnoteReference w:id="26"/>
      </w:r>
      <w:r w:rsidRPr="00C11D6E">
        <w:rPr>
          <w:sz w:val="24"/>
          <w:szCs w:val="24"/>
        </w:rPr>
        <w:t xml:space="preserve"> The only variable was to insert the outcome of the meaning determination. </w:t>
      </w:r>
      <w:bookmarkStart w:id="13" w:name="_Hlk194064983"/>
    </w:p>
    <w:bookmarkEnd w:id="13"/>
    <w:p w14:paraId="5855E631" w14:textId="2B425B7D" w:rsidR="00CB0DD7" w:rsidRPr="00ED08B6" w:rsidRDefault="00CB0DD7" w:rsidP="00D86A7A">
      <w:pPr>
        <w:pStyle w:val="ListParagraph"/>
        <w:numPr>
          <w:ilvl w:val="0"/>
          <w:numId w:val="1"/>
        </w:numPr>
        <w:spacing w:before="240" w:after="240" w:line="360" w:lineRule="auto"/>
        <w:contextualSpacing w:val="0"/>
        <w:rPr>
          <w:i/>
          <w:iCs/>
          <w:sz w:val="24"/>
          <w:szCs w:val="24"/>
        </w:rPr>
      </w:pPr>
      <w:r w:rsidRPr="00ED08B6">
        <w:rPr>
          <w:sz w:val="24"/>
          <w:szCs w:val="24"/>
        </w:rPr>
        <w:t>The s.2 imputation in the draft was:</w:t>
      </w:r>
      <w:r w:rsidR="00ED08B6">
        <w:rPr>
          <w:sz w:val="24"/>
          <w:szCs w:val="24"/>
        </w:rPr>
        <w:t xml:space="preserve"> </w:t>
      </w:r>
      <w:r w:rsidRPr="00ED08B6">
        <w:rPr>
          <w:i/>
          <w:iCs/>
          <w:sz w:val="24"/>
          <w:szCs w:val="24"/>
        </w:rPr>
        <w:t>“2.1.</w:t>
      </w:r>
      <w:r w:rsidR="00C11D6E">
        <w:rPr>
          <w:i/>
          <w:iCs/>
          <w:sz w:val="24"/>
          <w:szCs w:val="24"/>
        </w:rPr>
        <w:t xml:space="preserve"> </w:t>
      </w:r>
      <w:r w:rsidRPr="00ED08B6">
        <w:rPr>
          <w:i/>
          <w:iCs/>
          <w:sz w:val="24"/>
          <w:szCs w:val="24"/>
        </w:rPr>
        <w:t xml:space="preserve">The Claimant stated words to the effect / giving rise to the reasonable interpretation </w:t>
      </w:r>
      <w:r w:rsidRPr="00ED08B6">
        <w:rPr>
          <w:sz w:val="24"/>
          <w:szCs w:val="24"/>
        </w:rPr>
        <w:t>[select according to outcome of meaning determination]</w:t>
      </w:r>
      <w:r w:rsidRPr="00ED08B6">
        <w:rPr>
          <w:i/>
          <w:iCs/>
          <w:sz w:val="24"/>
          <w:szCs w:val="24"/>
        </w:rPr>
        <w:t>, that Hamas members are freedom fighters.”</w:t>
      </w:r>
    </w:p>
    <w:p w14:paraId="726CC58E" w14:textId="2BBCA6CC" w:rsidR="00CB0DD7" w:rsidRDefault="00CB0DD7" w:rsidP="00CB0DD7">
      <w:pPr>
        <w:pStyle w:val="ListParagraph"/>
        <w:numPr>
          <w:ilvl w:val="0"/>
          <w:numId w:val="1"/>
        </w:numPr>
        <w:spacing w:before="240" w:after="240" w:line="360" w:lineRule="auto"/>
        <w:contextualSpacing w:val="0"/>
        <w:rPr>
          <w:sz w:val="24"/>
          <w:szCs w:val="24"/>
        </w:rPr>
      </w:pPr>
      <w:r>
        <w:rPr>
          <w:sz w:val="24"/>
          <w:szCs w:val="24"/>
        </w:rPr>
        <w:t>The draft reflected that C’s meaning included “</w:t>
      </w:r>
      <w:r w:rsidRPr="00B16078">
        <w:rPr>
          <w:i/>
          <w:iCs/>
          <w:sz w:val="24"/>
          <w:szCs w:val="24"/>
        </w:rPr>
        <w:t>stating words to the effect that its members are freedom fighters</w:t>
      </w:r>
      <w:r w:rsidRPr="00B16078">
        <w:rPr>
          <w:sz w:val="24"/>
          <w:szCs w:val="24"/>
        </w:rPr>
        <w:t>”</w:t>
      </w:r>
      <w:r>
        <w:rPr>
          <w:sz w:val="24"/>
          <w:szCs w:val="24"/>
        </w:rPr>
        <w:t>.  D’s preferred formulation was “</w:t>
      </w:r>
      <w:r w:rsidRPr="00B16078">
        <w:rPr>
          <w:i/>
          <w:iCs/>
          <w:sz w:val="24"/>
          <w:szCs w:val="24"/>
        </w:rPr>
        <w:t>giving rise to the reasonable interpretation</w:t>
      </w:r>
      <w:r>
        <w:rPr>
          <w:i/>
          <w:iCs/>
          <w:sz w:val="24"/>
          <w:szCs w:val="24"/>
        </w:rPr>
        <w:t xml:space="preserve">”. </w:t>
      </w:r>
      <w:r>
        <w:rPr>
          <w:sz w:val="24"/>
          <w:szCs w:val="24"/>
        </w:rPr>
        <w:t xml:space="preserve">This was more advantageous to D. It reflected that different people can reasonably interpret the same words differently. </w:t>
      </w:r>
    </w:p>
    <w:p w14:paraId="51E3DE08" w14:textId="28B9E4B9" w:rsidR="00CB0DD7" w:rsidRDefault="00CB0DD7" w:rsidP="00CB0DD7">
      <w:pPr>
        <w:pStyle w:val="ListParagraph"/>
        <w:numPr>
          <w:ilvl w:val="0"/>
          <w:numId w:val="1"/>
        </w:numPr>
        <w:spacing w:before="240" w:after="240" w:line="360" w:lineRule="auto"/>
        <w:contextualSpacing w:val="0"/>
        <w:rPr>
          <w:sz w:val="24"/>
          <w:szCs w:val="24"/>
        </w:rPr>
      </w:pPr>
      <w:r>
        <w:rPr>
          <w:sz w:val="24"/>
          <w:szCs w:val="24"/>
        </w:rPr>
        <w:t>D</w:t>
      </w:r>
      <w:r w:rsidRPr="00F17475">
        <w:rPr>
          <w:sz w:val="24"/>
          <w:szCs w:val="24"/>
        </w:rPr>
        <w:t>e</w:t>
      </w:r>
      <w:r>
        <w:rPr>
          <w:sz w:val="24"/>
          <w:szCs w:val="24"/>
        </w:rPr>
        <w:t xml:space="preserve">termining </w:t>
      </w:r>
      <w:r w:rsidRPr="00F17475">
        <w:rPr>
          <w:sz w:val="24"/>
          <w:szCs w:val="24"/>
        </w:rPr>
        <w:t xml:space="preserve">the range of meanings </w:t>
      </w:r>
      <w:r w:rsidR="008E1C25">
        <w:rPr>
          <w:sz w:val="24"/>
          <w:szCs w:val="24"/>
        </w:rPr>
        <w:t xml:space="preserve">that </w:t>
      </w:r>
      <w:r w:rsidRPr="00F17475">
        <w:rPr>
          <w:sz w:val="24"/>
          <w:szCs w:val="24"/>
        </w:rPr>
        <w:t xml:space="preserve">words are reasonably capable </w:t>
      </w:r>
      <w:r>
        <w:rPr>
          <w:sz w:val="24"/>
          <w:szCs w:val="24"/>
        </w:rPr>
        <w:t xml:space="preserve">of conveying is a concept familiar to defamation practitioners. Prior to the 2013 Act it was regularly applied </w:t>
      </w:r>
      <w:r w:rsidR="004664F0">
        <w:rPr>
          <w:sz w:val="24"/>
          <w:szCs w:val="24"/>
        </w:rPr>
        <w:t xml:space="preserve">to seek to </w:t>
      </w:r>
      <w:r>
        <w:rPr>
          <w:sz w:val="24"/>
          <w:szCs w:val="24"/>
        </w:rPr>
        <w:t xml:space="preserve">exclude defamatory meanings advanced by claimants or sought to be justified by defendants. The authorities repeatedly stress that it </w:t>
      </w:r>
      <w:r w:rsidR="00255346">
        <w:rPr>
          <w:sz w:val="24"/>
          <w:szCs w:val="24"/>
        </w:rPr>
        <w:t xml:space="preserve">is </w:t>
      </w:r>
      <w:r>
        <w:rPr>
          <w:sz w:val="24"/>
          <w:szCs w:val="24"/>
        </w:rPr>
        <w:t xml:space="preserve">a perversity </w:t>
      </w:r>
      <w:r w:rsidR="004664F0">
        <w:rPr>
          <w:sz w:val="24"/>
          <w:szCs w:val="24"/>
        </w:rPr>
        <w:t>filter and therefore “an exercise in generosity”</w:t>
      </w:r>
      <w:r>
        <w:rPr>
          <w:sz w:val="24"/>
          <w:szCs w:val="24"/>
        </w:rPr>
        <w:t>.</w:t>
      </w:r>
      <w:r w:rsidR="000029B6">
        <w:rPr>
          <w:rStyle w:val="FootnoteReference"/>
          <w:sz w:val="24"/>
          <w:szCs w:val="24"/>
        </w:rPr>
        <w:footnoteReference w:id="27"/>
      </w:r>
      <w:r>
        <w:rPr>
          <w:sz w:val="24"/>
          <w:szCs w:val="24"/>
        </w:rPr>
        <w:t xml:space="preserve"> </w:t>
      </w:r>
      <w:r w:rsidR="003F7C0F">
        <w:rPr>
          <w:sz w:val="24"/>
          <w:szCs w:val="24"/>
        </w:rPr>
        <w:t>Relatedly, if on an application for permission to appeal it appears that the judge has erred on the side of unnecessary restriction of meaning, the Court of Appeal will be readier to grant permission to appeal.</w:t>
      </w:r>
      <w:r w:rsidR="00416A4C">
        <w:rPr>
          <w:rStyle w:val="FootnoteReference"/>
          <w:sz w:val="24"/>
          <w:szCs w:val="24"/>
        </w:rPr>
        <w:footnoteReference w:id="28"/>
      </w:r>
      <w:r w:rsidR="003F7C0F">
        <w:rPr>
          <w:sz w:val="24"/>
          <w:szCs w:val="24"/>
        </w:rPr>
        <w:t xml:space="preserve"> </w:t>
      </w:r>
    </w:p>
    <w:p w14:paraId="2DC9C614" w14:textId="59DAE49B" w:rsidR="00CB0DD7" w:rsidRDefault="00CB0DD7" w:rsidP="00CB0DD7">
      <w:pPr>
        <w:pStyle w:val="ListParagraph"/>
        <w:numPr>
          <w:ilvl w:val="0"/>
          <w:numId w:val="1"/>
        </w:numPr>
        <w:spacing w:before="240" w:after="240" w:line="360" w:lineRule="auto"/>
        <w:contextualSpacing w:val="0"/>
        <w:rPr>
          <w:sz w:val="24"/>
          <w:szCs w:val="24"/>
        </w:rPr>
      </w:pPr>
      <w:r w:rsidRPr="00A05327">
        <w:rPr>
          <w:sz w:val="24"/>
          <w:szCs w:val="24"/>
        </w:rPr>
        <w:t xml:space="preserve">The Judge’s meaning </w:t>
      </w:r>
      <w:r>
        <w:rPr>
          <w:sz w:val="24"/>
          <w:szCs w:val="24"/>
        </w:rPr>
        <w:t xml:space="preserve">is that </w:t>
      </w:r>
      <w:r w:rsidRPr="00A05327">
        <w:rPr>
          <w:sz w:val="24"/>
          <w:szCs w:val="24"/>
        </w:rPr>
        <w:t>“</w:t>
      </w:r>
      <w:r w:rsidRPr="00A05327">
        <w:rPr>
          <w:i/>
          <w:iCs/>
          <w:sz w:val="24"/>
          <w:szCs w:val="24"/>
        </w:rPr>
        <w:t>there are reasonable grounds to suspect that, by using such words [the Answer], the Claimant has called the terrorist organisation Hamas freedom fighters</w:t>
      </w:r>
      <w:r w:rsidRPr="00A05327">
        <w:rPr>
          <w:sz w:val="24"/>
          <w:szCs w:val="24"/>
        </w:rPr>
        <w:t xml:space="preserve">”.  </w:t>
      </w:r>
      <w:r w:rsidR="00416A4C">
        <w:rPr>
          <w:sz w:val="24"/>
          <w:szCs w:val="24"/>
        </w:rPr>
        <w:t xml:space="preserve">D is prepared to accept that this </w:t>
      </w:r>
      <w:r w:rsidRPr="00A05327">
        <w:rPr>
          <w:sz w:val="24"/>
          <w:szCs w:val="24"/>
        </w:rPr>
        <w:t>is no different, in substance, to D’s meaning</w:t>
      </w:r>
      <w:r w:rsidR="00792716">
        <w:rPr>
          <w:sz w:val="24"/>
          <w:szCs w:val="24"/>
        </w:rPr>
        <w:t xml:space="preserve"> in Defence [2.1]</w:t>
      </w:r>
      <w:r w:rsidRPr="00A05327">
        <w:rPr>
          <w:sz w:val="24"/>
          <w:szCs w:val="24"/>
        </w:rPr>
        <w:t xml:space="preserve">. </w:t>
      </w:r>
      <w:r>
        <w:rPr>
          <w:sz w:val="24"/>
          <w:szCs w:val="24"/>
        </w:rPr>
        <w:t xml:space="preserve"> </w:t>
      </w:r>
      <w:r w:rsidR="00416A4C">
        <w:rPr>
          <w:sz w:val="24"/>
          <w:szCs w:val="24"/>
        </w:rPr>
        <w:t xml:space="preserve">A case could be made to the effect that it is less serious. In any event, there was no finding </w:t>
      </w:r>
      <w:r w:rsidR="00EC472B">
        <w:rPr>
          <w:sz w:val="24"/>
          <w:szCs w:val="24"/>
        </w:rPr>
        <w:t xml:space="preserve">by </w:t>
      </w:r>
      <w:r w:rsidR="00416A4C">
        <w:rPr>
          <w:sz w:val="24"/>
          <w:szCs w:val="24"/>
        </w:rPr>
        <w:t xml:space="preserve">the Judge that </w:t>
      </w:r>
      <w:r w:rsidR="00792716">
        <w:rPr>
          <w:sz w:val="24"/>
          <w:szCs w:val="24"/>
        </w:rPr>
        <w:t>his meaning was more serious tha</w:t>
      </w:r>
      <w:r w:rsidR="00EC472B">
        <w:rPr>
          <w:sz w:val="24"/>
          <w:szCs w:val="24"/>
        </w:rPr>
        <w:t>n</w:t>
      </w:r>
      <w:r w:rsidR="00792716">
        <w:rPr>
          <w:sz w:val="24"/>
          <w:szCs w:val="24"/>
        </w:rPr>
        <w:t xml:space="preserve"> D’s meaning. </w:t>
      </w:r>
    </w:p>
    <w:p w14:paraId="30C0B9B2" w14:textId="24F3B0E9" w:rsidR="00CB0DD7" w:rsidRPr="00A05327" w:rsidRDefault="00CB0DD7" w:rsidP="00CB0DD7">
      <w:pPr>
        <w:pStyle w:val="ListParagraph"/>
        <w:numPr>
          <w:ilvl w:val="0"/>
          <w:numId w:val="1"/>
        </w:numPr>
        <w:spacing w:before="240" w:after="240" w:line="360" w:lineRule="auto"/>
        <w:contextualSpacing w:val="0"/>
        <w:rPr>
          <w:sz w:val="24"/>
          <w:szCs w:val="24"/>
        </w:rPr>
      </w:pPr>
      <w:r w:rsidRPr="00A05327">
        <w:rPr>
          <w:sz w:val="24"/>
          <w:szCs w:val="24"/>
        </w:rPr>
        <w:t xml:space="preserve">The consequence of the Judge’s determination is that the s.2 defence can only fail if the Opinion </w:t>
      </w:r>
      <w:r>
        <w:rPr>
          <w:sz w:val="24"/>
          <w:szCs w:val="24"/>
        </w:rPr>
        <w:t xml:space="preserve">is </w:t>
      </w:r>
      <w:r w:rsidRPr="00A05327">
        <w:rPr>
          <w:sz w:val="24"/>
          <w:szCs w:val="24"/>
        </w:rPr>
        <w:t>a</w:t>
      </w:r>
      <w:r w:rsidR="00916F0B">
        <w:rPr>
          <w:sz w:val="24"/>
          <w:szCs w:val="24"/>
        </w:rPr>
        <w:t xml:space="preserve"> perverse </w:t>
      </w:r>
      <w:r w:rsidRPr="00A05327">
        <w:rPr>
          <w:sz w:val="24"/>
          <w:szCs w:val="24"/>
        </w:rPr>
        <w:t xml:space="preserve">interpretation of the Answer in the context of the Interview. Further, </w:t>
      </w:r>
      <w:r>
        <w:rPr>
          <w:sz w:val="24"/>
          <w:szCs w:val="24"/>
        </w:rPr>
        <w:t xml:space="preserve">in order to reach this </w:t>
      </w:r>
      <w:r w:rsidR="00620D1C">
        <w:rPr>
          <w:sz w:val="24"/>
          <w:szCs w:val="24"/>
        </w:rPr>
        <w:t>conclusion,</w:t>
      </w:r>
      <w:r>
        <w:rPr>
          <w:sz w:val="24"/>
          <w:szCs w:val="24"/>
        </w:rPr>
        <w:t xml:space="preserve"> it is necessary to reject as unreasonable </w:t>
      </w:r>
      <w:r w:rsidRPr="00A05327">
        <w:rPr>
          <w:sz w:val="24"/>
          <w:szCs w:val="24"/>
        </w:rPr>
        <w:t xml:space="preserve">the </w:t>
      </w:r>
      <w:r>
        <w:rPr>
          <w:sz w:val="24"/>
          <w:szCs w:val="24"/>
        </w:rPr>
        <w:t xml:space="preserve">material elements of the interpretative </w:t>
      </w:r>
      <w:r w:rsidRPr="00A05327">
        <w:rPr>
          <w:sz w:val="24"/>
          <w:szCs w:val="24"/>
        </w:rPr>
        <w:t xml:space="preserve">case </w:t>
      </w:r>
      <w:r>
        <w:rPr>
          <w:sz w:val="24"/>
          <w:szCs w:val="24"/>
        </w:rPr>
        <w:t xml:space="preserve">set out </w:t>
      </w:r>
      <w:r w:rsidRPr="00A05327">
        <w:rPr>
          <w:sz w:val="24"/>
          <w:szCs w:val="24"/>
        </w:rPr>
        <w:t xml:space="preserve">in draft Defence [2.2] to [2.6] incorporating the </w:t>
      </w:r>
      <w:r>
        <w:rPr>
          <w:sz w:val="24"/>
          <w:szCs w:val="24"/>
        </w:rPr>
        <w:t xml:space="preserve">Schedule. </w:t>
      </w:r>
    </w:p>
    <w:p w14:paraId="6CA09FA1" w14:textId="1D950034" w:rsidR="00CB0DD7" w:rsidRDefault="00CB0DD7" w:rsidP="00CB0DD7">
      <w:pPr>
        <w:pStyle w:val="ListParagraph"/>
        <w:numPr>
          <w:ilvl w:val="0"/>
          <w:numId w:val="1"/>
        </w:numPr>
        <w:spacing w:before="240" w:after="240" w:line="360" w:lineRule="auto"/>
        <w:contextualSpacing w:val="0"/>
        <w:rPr>
          <w:sz w:val="24"/>
          <w:szCs w:val="24"/>
        </w:rPr>
      </w:pPr>
      <w:r w:rsidRPr="00B16078">
        <w:rPr>
          <w:sz w:val="24"/>
          <w:szCs w:val="24"/>
        </w:rPr>
        <w:t xml:space="preserve"> </w:t>
      </w:r>
      <w:r>
        <w:rPr>
          <w:sz w:val="24"/>
          <w:szCs w:val="24"/>
        </w:rPr>
        <w:t xml:space="preserve">The Judge’s reasons for finding that the determined meaning was not substantially true were stated briefly in [134].  They are not explicitly directed to the s.2 case in the draft Defence and do not engage substantively with it. </w:t>
      </w:r>
      <w:r w:rsidR="00255346" w:rsidRPr="00C11D6E">
        <w:rPr>
          <w:sz w:val="24"/>
          <w:szCs w:val="24"/>
        </w:rPr>
        <w:t>The judgment makes no reference, direct or indirect, to the draft Defence.</w:t>
      </w:r>
      <w:r w:rsidR="00255346" w:rsidRPr="00255346">
        <w:rPr>
          <w:sz w:val="24"/>
          <w:szCs w:val="24"/>
        </w:rPr>
        <w:t xml:space="preserve"> </w:t>
      </w:r>
    </w:p>
    <w:p w14:paraId="107D134F" w14:textId="2144EBED" w:rsidR="00CB0DD7" w:rsidRDefault="00CB0DD7" w:rsidP="007F2EFB">
      <w:pPr>
        <w:pStyle w:val="ListParagraph"/>
        <w:numPr>
          <w:ilvl w:val="0"/>
          <w:numId w:val="1"/>
        </w:numPr>
        <w:spacing w:before="240" w:after="240" w:line="360" w:lineRule="auto"/>
        <w:contextualSpacing w:val="0"/>
        <w:rPr>
          <w:sz w:val="24"/>
          <w:szCs w:val="24"/>
        </w:rPr>
      </w:pPr>
      <w:r>
        <w:rPr>
          <w:sz w:val="24"/>
          <w:szCs w:val="24"/>
        </w:rPr>
        <w:t xml:space="preserve">Most significantly, [134] merely refers to C’s initial agreement with Labour’s position that Hamas are terrorists. There is not even an attempt to explain away C’s acceptance that the Answer was the opposite of Labour’s position and his repeated confirmation that it represented his true beliefs. </w:t>
      </w:r>
      <w:r w:rsidR="007F2EFB">
        <w:rPr>
          <w:sz w:val="24"/>
          <w:szCs w:val="24"/>
        </w:rPr>
        <w:t>I</w:t>
      </w:r>
      <w:r>
        <w:rPr>
          <w:sz w:val="24"/>
          <w:szCs w:val="24"/>
        </w:rPr>
        <w:t xml:space="preserve">t would hardly be unreasonable for a </w:t>
      </w:r>
      <w:r w:rsidR="005F3002">
        <w:rPr>
          <w:sz w:val="24"/>
          <w:szCs w:val="24"/>
        </w:rPr>
        <w:t xml:space="preserve">viewer </w:t>
      </w:r>
      <w:r>
        <w:rPr>
          <w:sz w:val="24"/>
          <w:szCs w:val="24"/>
        </w:rPr>
        <w:t xml:space="preserve">to </w:t>
      </w:r>
      <w:r w:rsidR="00DF63F6">
        <w:rPr>
          <w:sz w:val="24"/>
          <w:szCs w:val="24"/>
        </w:rPr>
        <w:t xml:space="preserve">take </w:t>
      </w:r>
      <w:r>
        <w:rPr>
          <w:sz w:val="24"/>
          <w:szCs w:val="24"/>
        </w:rPr>
        <w:t xml:space="preserve">C at face value.  </w:t>
      </w:r>
    </w:p>
    <w:p w14:paraId="08424310" w14:textId="61FDEBCE" w:rsidR="006D395D" w:rsidRPr="00AF3311" w:rsidRDefault="00AF3311" w:rsidP="00AF3311">
      <w:pPr>
        <w:spacing w:before="240" w:after="240" w:line="360" w:lineRule="auto"/>
        <w:rPr>
          <w:b/>
          <w:bCs/>
          <w:sz w:val="24"/>
          <w:szCs w:val="24"/>
        </w:rPr>
      </w:pPr>
      <w:bookmarkStart w:id="14" w:name="_Hlk194496833"/>
      <w:r>
        <w:rPr>
          <w:b/>
          <w:bCs/>
          <w:sz w:val="24"/>
          <w:szCs w:val="24"/>
        </w:rPr>
        <w:t xml:space="preserve">The correct procedural approach to determining s.3 &amp; s.2 at a TPI/SJ application </w:t>
      </w:r>
    </w:p>
    <w:bookmarkEnd w:id="14"/>
    <w:p w14:paraId="4AC99604" w14:textId="27A9277D" w:rsidR="00AE1D51" w:rsidRDefault="00AF3311"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This appeal is grounded on substantive errors by the Judge.  Nevertheless, it is appropriate to </w:t>
      </w:r>
      <w:r w:rsidR="00955A00">
        <w:rPr>
          <w:sz w:val="24"/>
          <w:szCs w:val="24"/>
        </w:rPr>
        <w:t xml:space="preserve">record </w:t>
      </w:r>
      <w:r>
        <w:rPr>
          <w:sz w:val="24"/>
          <w:szCs w:val="24"/>
        </w:rPr>
        <w:t>that the procedur</w:t>
      </w:r>
      <w:r w:rsidR="00E2460B">
        <w:rPr>
          <w:sz w:val="24"/>
          <w:szCs w:val="24"/>
        </w:rPr>
        <w:t xml:space="preserve">al approach adopted by the Judge was </w:t>
      </w:r>
      <w:r>
        <w:rPr>
          <w:sz w:val="24"/>
          <w:szCs w:val="24"/>
        </w:rPr>
        <w:t xml:space="preserve">apt to lead to substantive error.  </w:t>
      </w:r>
      <w:r w:rsidR="00E2460B">
        <w:rPr>
          <w:sz w:val="24"/>
          <w:szCs w:val="24"/>
        </w:rPr>
        <w:t xml:space="preserve">In particular, by determining s.3(5) before s.3(4) and by showing </w:t>
      </w:r>
      <w:r>
        <w:rPr>
          <w:sz w:val="24"/>
          <w:szCs w:val="24"/>
        </w:rPr>
        <w:t xml:space="preserve">tolerance to C not having </w:t>
      </w:r>
      <w:r w:rsidR="00CB0DD7">
        <w:rPr>
          <w:sz w:val="24"/>
          <w:szCs w:val="24"/>
        </w:rPr>
        <w:t xml:space="preserve">properly </w:t>
      </w:r>
      <w:r>
        <w:rPr>
          <w:sz w:val="24"/>
          <w:szCs w:val="24"/>
        </w:rPr>
        <w:t xml:space="preserve">stated a s.3(5) case in reply to the SJ application.  </w:t>
      </w:r>
    </w:p>
    <w:p w14:paraId="5D5312BD" w14:textId="3DC269BE" w:rsidR="008770A4" w:rsidRPr="00A31276" w:rsidRDefault="008770A4" w:rsidP="008770A4">
      <w:pPr>
        <w:spacing w:before="240" w:after="240" w:line="360" w:lineRule="auto"/>
        <w:rPr>
          <w:sz w:val="24"/>
          <w:szCs w:val="24"/>
          <w:u w:val="single"/>
        </w:rPr>
      </w:pPr>
      <w:r w:rsidRPr="00A31276">
        <w:rPr>
          <w:sz w:val="24"/>
          <w:szCs w:val="24"/>
          <w:u w:val="single"/>
        </w:rPr>
        <w:t xml:space="preserve">The </w:t>
      </w:r>
      <w:r w:rsidR="00777E62">
        <w:rPr>
          <w:sz w:val="24"/>
          <w:szCs w:val="24"/>
          <w:u w:val="single"/>
        </w:rPr>
        <w:t>procedural history leading to the 8/11 hearing</w:t>
      </w:r>
    </w:p>
    <w:p w14:paraId="34128AF7" w14:textId="00803406" w:rsidR="00DD6EA1" w:rsidRDefault="00AE1D51" w:rsidP="00EA34F2">
      <w:pPr>
        <w:pStyle w:val="ListParagraph"/>
        <w:numPr>
          <w:ilvl w:val="0"/>
          <w:numId w:val="1"/>
        </w:numPr>
        <w:spacing w:before="240" w:after="240" w:line="360" w:lineRule="auto"/>
        <w:ind w:left="357" w:hanging="357"/>
        <w:contextualSpacing w:val="0"/>
        <w:rPr>
          <w:sz w:val="24"/>
          <w:szCs w:val="24"/>
        </w:rPr>
      </w:pPr>
      <w:r>
        <w:rPr>
          <w:sz w:val="24"/>
          <w:szCs w:val="24"/>
        </w:rPr>
        <w:t>The parties had agreed that meaning, s.3(2) and s.3(3) should be determined at a TPI. This is standard.  D proposed that the TPI should also include the interpretation of the Answer in the context of the Interview for the purposes of s.</w:t>
      </w:r>
      <w:r w:rsidR="004A4232">
        <w:rPr>
          <w:sz w:val="24"/>
          <w:szCs w:val="24"/>
        </w:rPr>
        <w:t xml:space="preserve">3(4) </w:t>
      </w:r>
      <w:r w:rsidR="007B09A2">
        <w:rPr>
          <w:sz w:val="24"/>
          <w:szCs w:val="24"/>
        </w:rPr>
        <w:t xml:space="preserve">and </w:t>
      </w:r>
      <w:r w:rsidR="004A4232">
        <w:rPr>
          <w:sz w:val="24"/>
          <w:szCs w:val="24"/>
        </w:rPr>
        <w:t>s.</w:t>
      </w:r>
      <w:r>
        <w:rPr>
          <w:sz w:val="24"/>
          <w:szCs w:val="24"/>
        </w:rPr>
        <w:t xml:space="preserve">2.  </w:t>
      </w:r>
      <w:r w:rsidR="00DD6EA1">
        <w:rPr>
          <w:sz w:val="24"/>
          <w:szCs w:val="24"/>
        </w:rPr>
        <w:t xml:space="preserve">As regards s.3(5), </w:t>
      </w:r>
      <w:r>
        <w:rPr>
          <w:sz w:val="24"/>
          <w:szCs w:val="24"/>
        </w:rPr>
        <w:t>D</w:t>
      </w:r>
      <w:r w:rsidR="00DD6EA1">
        <w:rPr>
          <w:sz w:val="24"/>
          <w:szCs w:val="24"/>
        </w:rPr>
        <w:t xml:space="preserve">’s </w:t>
      </w:r>
      <w:r w:rsidR="00A03839">
        <w:rPr>
          <w:sz w:val="24"/>
          <w:szCs w:val="24"/>
        </w:rPr>
        <w:t xml:space="preserve">former </w:t>
      </w:r>
      <w:r w:rsidR="00DD6EA1">
        <w:rPr>
          <w:sz w:val="24"/>
          <w:szCs w:val="24"/>
        </w:rPr>
        <w:t xml:space="preserve">solicitors </w:t>
      </w:r>
      <w:r w:rsidR="00ED08B6">
        <w:rPr>
          <w:sz w:val="24"/>
          <w:szCs w:val="24"/>
        </w:rPr>
        <w:t xml:space="preserve">noted that if D succeeded on s.3(2)-(4) but not s.2, only s.3(5) would potentially be in issue. They </w:t>
      </w:r>
      <w:r w:rsidR="00116F2A">
        <w:rPr>
          <w:sz w:val="24"/>
          <w:szCs w:val="24"/>
        </w:rPr>
        <w:t xml:space="preserve">recorded </w:t>
      </w:r>
      <w:r w:rsidR="00ED08B6">
        <w:rPr>
          <w:sz w:val="24"/>
          <w:szCs w:val="24"/>
        </w:rPr>
        <w:t>that C had not posited a s.3(5) case in correspondence and invited C to accept that there was no basis for such a case</w:t>
      </w:r>
      <w:r w:rsidR="00DD6EA1">
        <w:rPr>
          <w:sz w:val="24"/>
          <w:szCs w:val="24"/>
        </w:rPr>
        <w:t>:</w:t>
      </w:r>
      <w:r w:rsidR="000029B6">
        <w:rPr>
          <w:rStyle w:val="FootnoteReference"/>
          <w:sz w:val="24"/>
          <w:szCs w:val="24"/>
        </w:rPr>
        <w:footnoteReference w:id="29"/>
      </w:r>
    </w:p>
    <w:p w14:paraId="05CA1D7A" w14:textId="1FFBA643" w:rsidR="002F4A2B" w:rsidRDefault="008770A4" w:rsidP="002F4A2B">
      <w:pPr>
        <w:pStyle w:val="ListParagraph"/>
        <w:numPr>
          <w:ilvl w:val="0"/>
          <w:numId w:val="1"/>
        </w:numPr>
        <w:spacing w:before="240" w:after="240" w:line="360" w:lineRule="auto"/>
        <w:ind w:left="357" w:hanging="357"/>
        <w:contextualSpacing w:val="0"/>
        <w:rPr>
          <w:sz w:val="24"/>
          <w:szCs w:val="24"/>
        </w:rPr>
      </w:pPr>
      <w:r>
        <w:rPr>
          <w:sz w:val="24"/>
          <w:szCs w:val="24"/>
        </w:rPr>
        <w:t>C</w:t>
      </w:r>
      <w:r w:rsidR="00ED08B6">
        <w:rPr>
          <w:sz w:val="24"/>
          <w:szCs w:val="24"/>
        </w:rPr>
        <w:t xml:space="preserve">’s solicitors’ response </w:t>
      </w:r>
      <w:r>
        <w:rPr>
          <w:sz w:val="24"/>
          <w:szCs w:val="24"/>
        </w:rPr>
        <w:t xml:space="preserve">objected to the expanded TPI, primarily on the basis that </w:t>
      </w:r>
      <w:r w:rsidR="00ED08B6">
        <w:rPr>
          <w:sz w:val="24"/>
          <w:szCs w:val="24"/>
        </w:rPr>
        <w:t xml:space="preserve">C </w:t>
      </w:r>
      <w:r>
        <w:rPr>
          <w:sz w:val="24"/>
          <w:szCs w:val="24"/>
        </w:rPr>
        <w:t xml:space="preserve">wished to give evidence </w:t>
      </w:r>
      <w:r w:rsidR="00116F2A">
        <w:rPr>
          <w:sz w:val="24"/>
          <w:szCs w:val="24"/>
        </w:rPr>
        <w:t xml:space="preserve">of </w:t>
      </w:r>
      <w:r>
        <w:rPr>
          <w:sz w:val="24"/>
          <w:szCs w:val="24"/>
        </w:rPr>
        <w:t>his intended meaning of the Answer for the purposes of s.3(4) and s.2.</w:t>
      </w:r>
      <w:r w:rsidR="004B7F8F">
        <w:rPr>
          <w:rStyle w:val="FootnoteReference"/>
          <w:sz w:val="24"/>
          <w:szCs w:val="24"/>
        </w:rPr>
        <w:footnoteReference w:id="30"/>
      </w:r>
      <w:r>
        <w:rPr>
          <w:sz w:val="24"/>
          <w:szCs w:val="24"/>
        </w:rPr>
        <w:t xml:space="preserve">  </w:t>
      </w:r>
      <w:r w:rsidR="00ED08B6">
        <w:rPr>
          <w:sz w:val="24"/>
          <w:szCs w:val="24"/>
        </w:rPr>
        <w:t xml:space="preserve">It did not address </w:t>
      </w:r>
      <w:r>
        <w:rPr>
          <w:sz w:val="24"/>
          <w:szCs w:val="24"/>
        </w:rPr>
        <w:t>s.3(5).</w:t>
      </w:r>
    </w:p>
    <w:p w14:paraId="653FEE5C" w14:textId="7A2914ED" w:rsidR="00DC4623" w:rsidRPr="002F4A2B" w:rsidRDefault="008770A4" w:rsidP="002F4A2B">
      <w:pPr>
        <w:pStyle w:val="ListParagraph"/>
        <w:numPr>
          <w:ilvl w:val="0"/>
          <w:numId w:val="1"/>
        </w:numPr>
        <w:spacing w:before="240" w:after="240" w:line="360" w:lineRule="auto"/>
        <w:ind w:left="357" w:hanging="357"/>
        <w:contextualSpacing w:val="0"/>
        <w:rPr>
          <w:sz w:val="24"/>
          <w:szCs w:val="24"/>
        </w:rPr>
      </w:pPr>
      <w:r w:rsidRPr="002F4A2B">
        <w:rPr>
          <w:sz w:val="24"/>
          <w:szCs w:val="24"/>
        </w:rPr>
        <w:t>C’s stance prompted D to issue a SJ application on 30/9/2</w:t>
      </w:r>
      <w:r w:rsidR="00D07935">
        <w:rPr>
          <w:sz w:val="24"/>
          <w:szCs w:val="24"/>
        </w:rPr>
        <w:t>4</w:t>
      </w:r>
      <w:r w:rsidR="00955A00" w:rsidRPr="002F4A2B">
        <w:rPr>
          <w:sz w:val="24"/>
          <w:szCs w:val="24"/>
        </w:rPr>
        <w:t xml:space="preserve"> in relation to s.3 and/or s.2</w:t>
      </w:r>
      <w:r w:rsidR="00916F0B">
        <w:rPr>
          <w:sz w:val="24"/>
          <w:szCs w:val="24"/>
        </w:rPr>
        <w:t>, including s.3(5)</w:t>
      </w:r>
      <w:r w:rsidR="00955A00" w:rsidRPr="002F4A2B">
        <w:rPr>
          <w:sz w:val="24"/>
          <w:szCs w:val="24"/>
        </w:rPr>
        <w:t>. This was premised on D succeeding on s.3(2) &amp; (3) at the TPI</w:t>
      </w:r>
      <w:r w:rsidR="00255346">
        <w:rPr>
          <w:sz w:val="24"/>
          <w:szCs w:val="24"/>
        </w:rPr>
        <w:t>,</w:t>
      </w:r>
      <w:r w:rsidR="00955A00" w:rsidRPr="002F4A2B">
        <w:rPr>
          <w:sz w:val="24"/>
          <w:szCs w:val="24"/>
        </w:rPr>
        <w:t xml:space="preserve"> but s.3(4) and s.2 not being determined at the TPI.  </w:t>
      </w:r>
      <w:r w:rsidR="00116F2A">
        <w:rPr>
          <w:sz w:val="24"/>
          <w:szCs w:val="24"/>
        </w:rPr>
        <w:t xml:space="preserve">The </w:t>
      </w:r>
      <w:r w:rsidR="00955A00" w:rsidRPr="002F4A2B">
        <w:rPr>
          <w:sz w:val="24"/>
          <w:szCs w:val="24"/>
        </w:rPr>
        <w:t xml:space="preserve">application </w:t>
      </w:r>
      <w:r w:rsidR="00116F2A">
        <w:rPr>
          <w:sz w:val="24"/>
          <w:szCs w:val="24"/>
        </w:rPr>
        <w:t xml:space="preserve">notice </w:t>
      </w:r>
      <w:r w:rsidR="00955A00" w:rsidRPr="002F4A2B">
        <w:rPr>
          <w:sz w:val="24"/>
          <w:szCs w:val="24"/>
        </w:rPr>
        <w:t>attached draft s.3 &amp; s.2 defences relying solely on the Answer in the context of the Interview</w:t>
      </w:r>
      <w:r w:rsidR="00116F2A">
        <w:rPr>
          <w:sz w:val="24"/>
          <w:szCs w:val="24"/>
        </w:rPr>
        <w:t xml:space="preserve"> and </w:t>
      </w:r>
      <w:r w:rsidR="007B09A2">
        <w:rPr>
          <w:sz w:val="24"/>
          <w:szCs w:val="24"/>
        </w:rPr>
        <w:t xml:space="preserve">asserted </w:t>
      </w:r>
      <w:r w:rsidR="004A4232" w:rsidRPr="002F4A2B">
        <w:rPr>
          <w:sz w:val="24"/>
          <w:szCs w:val="24"/>
        </w:rPr>
        <w:t>that it was not open to C to rely on any other evidence</w:t>
      </w:r>
      <w:r w:rsidR="007B09A2">
        <w:rPr>
          <w:sz w:val="24"/>
          <w:szCs w:val="24"/>
        </w:rPr>
        <w:t xml:space="preserve"> in rebuttal</w:t>
      </w:r>
      <w:r w:rsidR="004A4232" w:rsidRPr="002F4A2B">
        <w:rPr>
          <w:sz w:val="24"/>
          <w:szCs w:val="24"/>
        </w:rPr>
        <w:t>.</w:t>
      </w:r>
      <w:r w:rsidR="00DC4623">
        <w:rPr>
          <w:rStyle w:val="FootnoteReference"/>
          <w:sz w:val="24"/>
          <w:szCs w:val="24"/>
        </w:rPr>
        <w:footnoteReference w:id="31"/>
      </w:r>
    </w:p>
    <w:p w14:paraId="21210DC7" w14:textId="561A2E29" w:rsidR="004A4232" w:rsidRPr="00116F2A" w:rsidRDefault="00955A00" w:rsidP="004D0EAF">
      <w:pPr>
        <w:pStyle w:val="ListParagraph"/>
        <w:numPr>
          <w:ilvl w:val="0"/>
          <w:numId w:val="1"/>
        </w:numPr>
        <w:spacing w:before="240" w:after="240" w:line="360" w:lineRule="auto"/>
        <w:ind w:left="357" w:hanging="357"/>
        <w:contextualSpacing w:val="0"/>
        <w:rPr>
          <w:sz w:val="24"/>
          <w:szCs w:val="24"/>
        </w:rPr>
      </w:pPr>
      <w:r w:rsidRPr="00116F2A">
        <w:rPr>
          <w:sz w:val="24"/>
          <w:szCs w:val="24"/>
        </w:rPr>
        <w:t>In relation to s.3(5)</w:t>
      </w:r>
      <w:r w:rsidR="004A4232" w:rsidRPr="00116F2A">
        <w:rPr>
          <w:sz w:val="24"/>
          <w:szCs w:val="24"/>
        </w:rPr>
        <w:t>, the notice stated</w:t>
      </w:r>
      <w:r w:rsidR="00116F2A" w:rsidRPr="00116F2A">
        <w:rPr>
          <w:sz w:val="24"/>
          <w:szCs w:val="24"/>
        </w:rPr>
        <w:t>:</w:t>
      </w:r>
      <w:r w:rsidR="00116F2A">
        <w:rPr>
          <w:sz w:val="24"/>
          <w:szCs w:val="24"/>
        </w:rPr>
        <w:t xml:space="preserve"> </w:t>
      </w:r>
      <w:r w:rsidR="004A4232" w:rsidRPr="00116F2A">
        <w:rPr>
          <w:sz w:val="24"/>
          <w:szCs w:val="24"/>
        </w:rPr>
        <w:t>“</w:t>
      </w:r>
      <w:r w:rsidR="004A4232" w:rsidRPr="00116F2A">
        <w:rPr>
          <w:i/>
          <w:iCs/>
          <w:sz w:val="24"/>
          <w:szCs w:val="24"/>
        </w:rPr>
        <w:t>5.</w:t>
      </w:r>
      <w:r w:rsidR="00116F2A">
        <w:rPr>
          <w:i/>
          <w:iCs/>
          <w:sz w:val="24"/>
          <w:szCs w:val="24"/>
        </w:rPr>
        <w:t xml:space="preserve"> </w:t>
      </w:r>
      <w:r w:rsidR="004A4232" w:rsidRPr="00116F2A">
        <w:rPr>
          <w:i/>
          <w:iCs/>
          <w:sz w:val="24"/>
          <w:szCs w:val="24"/>
        </w:rPr>
        <w:t>Further, the Claimant has no real prospect of success on section 3(5) of the Act.  The issue only arises in the event that an honest person could have held the opinions.  There is no reasonable basis on which it could be alleged that the Defendant did not hold them</w:t>
      </w:r>
      <w:r w:rsidR="004A4232" w:rsidRPr="00116F2A">
        <w:rPr>
          <w:sz w:val="24"/>
          <w:szCs w:val="24"/>
        </w:rPr>
        <w:t xml:space="preserve">.”  </w:t>
      </w:r>
    </w:p>
    <w:p w14:paraId="42D3F2B6" w14:textId="631D6A99" w:rsidR="002F4A2B" w:rsidRDefault="00DC4623" w:rsidP="00CB0DD7">
      <w:pPr>
        <w:pStyle w:val="ListParagraph"/>
        <w:numPr>
          <w:ilvl w:val="0"/>
          <w:numId w:val="1"/>
        </w:numPr>
        <w:spacing w:before="240" w:after="240" w:line="360" w:lineRule="auto"/>
        <w:ind w:left="357" w:hanging="357"/>
        <w:contextualSpacing w:val="0"/>
        <w:rPr>
          <w:sz w:val="24"/>
          <w:szCs w:val="24"/>
        </w:rPr>
      </w:pPr>
      <w:r>
        <w:rPr>
          <w:sz w:val="24"/>
          <w:szCs w:val="24"/>
        </w:rPr>
        <w:t xml:space="preserve">The SJ application was listed for 8/11.  </w:t>
      </w:r>
      <w:r w:rsidR="00053CEB">
        <w:rPr>
          <w:sz w:val="24"/>
          <w:szCs w:val="24"/>
        </w:rPr>
        <w:t>T</w:t>
      </w:r>
      <w:r w:rsidR="008770A4" w:rsidRPr="008770A4">
        <w:rPr>
          <w:sz w:val="24"/>
          <w:szCs w:val="24"/>
        </w:rPr>
        <w:t xml:space="preserve">he Court </w:t>
      </w:r>
      <w:r>
        <w:rPr>
          <w:sz w:val="24"/>
          <w:szCs w:val="24"/>
        </w:rPr>
        <w:t xml:space="preserve">then </w:t>
      </w:r>
      <w:r w:rsidR="008770A4" w:rsidRPr="008770A4">
        <w:rPr>
          <w:sz w:val="24"/>
          <w:szCs w:val="24"/>
        </w:rPr>
        <w:t xml:space="preserve">listed a review hearing </w:t>
      </w:r>
      <w:r w:rsidR="008770A4">
        <w:rPr>
          <w:sz w:val="24"/>
          <w:szCs w:val="24"/>
        </w:rPr>
        <w:t xml:space="preserve">on 23/10 </w:t>
      </w:r>
      <w:r w:rsidR="008770A4" w:rsidRPr="008770A4">
        <w:rPr>
          <w:sz w:val="24"/>
          <w:szCs w:val="24"/>
        </w:rPr>
        <w:t xml:space="preserve">jointly with two related claims.  Master </w:t>
      </w:r>
      <w:r w:rsidR="00053CEB">
        <w:rPr>
          <w:sz w:val="24"/>
          <w:szCs w:val="24"/>
        </w:rPr>
        <w:t>Dagnall ordered that the SJ application should be heard a</w:t>
      </w:r>
      <w:r w:rsidR="007B09A2">
        <w:rPr>
          <w:sz w:val="24"/>
          <w:szCs w:val="24"/>
        </w:rPr>
        <w:t xml:space="preserve">t </w:t>
      </w:r>
      <w:r w:rsidR="00053CEB">
        <w:rPr>
          <w:sz w:val="24"/>
          <w:szCs w:val="24"/>
        </w:rPr>
        <w:t xml:space="preserve">the same time as </w:t>
      </w:r>
      <w:r>
        <w:rPr>
          <w:sz w:val="24"/>
          <w:szCs w:val="24"/>
        </w:rPr>
        <w:t xml:space="preserve">the agreed </w:t>
      </w:r>
      <w:r w:rsidR="00053CEB">
        <w:rPr>
          <w:sz w:val="24"/>
          <w:szCs w:val="24"/>
        </w:rPr>
        <w:t>TPI</w:t>
      </w:r>
      <w:r w:rsidR="00916F0B">
        <w:rPr>
          <w:sz w:val="24"/>
          <w:szCs w:val="24"/>
        </w:rPr>
        <w:t xml:space="preserve"> on meaning, s.3(2) &amp; (3)</w:t>
      </w:r>
      <w:r>
        <w:rPr>
          <w:sz w:val="24"/>
          <w:szCs w:val="24"/>
        </w:rPr>
        <w:t xml:space="preserve">. He indicated that it was open to </w:t>
      </w:r>
      <w:r w:rsidR="002F4A2B">
        <w:rPr>
          <w:sz w:val="24"/>
          <w:szCs w:val="24"/>
        </w:rPr>
        <w:t xml:space="preserve">D to apply for the TPI to be extended to s.3(4) &amp; s.2. D issued such an application on 1/11. </w:t>
      </w:r>
    </w:p>
    <w:p w14:paraId="04753614" w14:textId="77777777" w:rsidR="00777E62" w:rsidRPr="00777E62" w:rsidRDefault="00777E62" w:rsidP="00777E62">
      <w:pPr>
        <w:spacing w:before="240" w:after="240" w:line="360" w:lineRule="auto"/>
        <w:rPr>
          <w:sz w:val="24"/>
          <w:szCs w:val="24"/>
          <w:u w:val="single"/>
        </w:rPr>
      </w:pPr>
      <w:bookmarkStart w:id="15" w:name="_Hlk194496884"/>
      <w:r w:rsidRPr="00777E62">
        <w:rPr>
          <w:sz w:val="24"/>
          <w:szCs w:val="24"/>
          <w:u w:val="single"/>
        </w:rPr>
        <w:t>The order in which the issues should have been determined</w:t>
      </w:r>
      <w:bookmarkEnd w:id="15"/>
    </w:p>
    <w:p w14:paraId="7FD8150F" w14:textId="354963CC" w:rsidR="002F4A2B" w:rsidRDefault="002F4A2B"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D submitted that the correct order of determination was s.3(2), s.3(3), s.3(4) (by TPI or SJ standard depending on whether the 1/11 application was successful), s3(5) (by SJ standard), meaning and s.2 (by TPI or SJ standard).  </w:t>
      </w:r>
    </w:p>
    <w:p w14:paraId="70F4C3B2" w14:textId="5A650CF5" w:rsidR="00916F0B" w:rsidRDefault="00622C49" w:rsidP="00CB0DD7">
      <w:pPr>
        <w:pStyle w:val="ListParagraph"/>
        <w:numPr>
          <w:ilvl w:val="0"/>
          <w:numId w:val="1"/>
        </w:numPr>
        <w:spacing w:before="240" w:after="240" w:line="360" w:lineRule="auto"/>
        <w:ind w:left="357" w:hanging="357"/>
        <w:contextualSpacing w:val="0"/>
        <w:rPr>
          <w:sz w:val="24"/>
          <w:szCs w:val="24"/>
        </w:rPr>
      </w:pPr>
      <w:r w:rsidRPr="00D62FE3">
        <w:rPr>
          <w:sz w:val="24"/>
          <w:szCs w:val="24"/>
        </w:rPr>
        <w:t xml:space="preserve">It </w:t>
      </w:r>
      <w:r w:rsidR="002F4A2B" w:rsidRPr="00D62FE3">
        <w:rPr>
          <w:sz w:val="24"/>
          <w:szCs w:val="24"/>
        </w:rPr>
        <w:t xml:space="preserve">is </w:t>
      </w:r>
      <w:r w:rsidR="00D62FE3" w:rsidRPr="00D62FE3">
        <w:rPr>
          <w:sz w:val="24"/>
          <w:szCs w:val="24"/>
        </w:rPr>
        <w:t xml:space="preserve">recognised that </w:t>
      </w:r>
      <w:r w:rsidR="002F4A2B" w:rsidRPr="00D62FE3">
        <w:rPr>
          <w:sz w:val="24"/>
          <w:szCs w:val="24"/>
        </w:rPr>
        <w:t>s.3</w:t>
      </w:r>
      <w:r w:rsidR="00D62FE3" w:rsidRPr="00D62FE3">
        <w:rPr>
          <w:sz w:val="24"/>
          <w:szCs w:val="24"/>
        </w:rPr>
        <w:t>(2)</w:t>
      </w:r>
      <w:r w:rsidRPr="00D62FE3">
        <w:rPr>
          <w:sz w:val="24"/>
          <w:szCs w:val="24"/>
        </w:rPr>
        <w:t xml:space="preserve"> </w:t>
      </w:r>
      <w:r w:rsidR="00D62FE3" w:rsidRPr="00D62FE3">
        <w:rPr>
          <w:sz w:val="24"/>
          <w:szCs w:val="24"/>
        </w:rPr>
        <w:t xml:space="preserve">should generally be determined </w:t>
      </w:r>
      <w:r w:rsidR="002F4A2B" w:rsidRPr="00D62FE3">
        <w:rPr>
          <w:sz w:val="24"/>
          <w:szCs w:val="24"/>
        </w:rPr>
        <w:t>before meaning</w:t>
      </w:r>
      <w:r w:rsidR="00916F0B">
        <w:rPr>
          <w:sz w:val="24"/>
          <w:szCs w:val="24"/>
        </w:rPr>
        <w:t xml:space="preserve">. </w:t>
      </w:r>
      <w:r w:rsidR="002F4A2B" w:rsidRPr="00D62FE3">
        <w:rPr>
          <w:sz w:val="24"/>
          <w:szCs w:val="24"/>
        </w:rPr>
        <w:t xml:space="preserve">This </w:t>
      </w:r>
      <w:r w:rsidR="007B09A2">
        <w:rPr>
          <w:sz w:val="24"/>
          <w:szCs w:val="24"/>
        </w:rPr>
        <w:t xml:space="preserve">is </w:t>
      </w:r>
      <w:r w:rsidR="002F4A2B" w:rsidRPr="00D62FE3">
        <w:rPr>
          <w:sz w:val="24"/>
          <w:szCs w:val="24"/>
        </w:rPr>
        <w:t xml:space="preserve">because s.3 is directed to the </w:t>
      </w:r>
      <w:r w:rsidRPr="00D62FE3">
        <w:rPr>
          <w:sz w:val="24"/>
          <w:szCs w:val="24"/>
        </w:rPr>
        <w:t xml:space="preserve">statement complained of i.e. the words, in contrast to s.2 which is directed </w:t>
      </w:r>
      <w:r w:rsidR="007B09A2">
        <w:rPr>
          <w:sz w:val="24"/>
          <w:szCs w:val="24"/>
        </w:rPr>
        <w:t xml:space="preserve">to </w:t>
      </w:r>
      <w:r w:rsidRPr="00D62FE3">
        <w:rPr>
          <w:sz w:val="24"/>
          <w:szCs w:val="24"/>
        </w:rPr>
        <w:t xml:space="preserve">the imputation/meaning conveyed by </w:t>
      </w:r>
      <w:r w:rsidR="007B09A2">
        <w:rPr>
          <w:sz w:val="24"/>
          <w:szCs w:val="24"/>
        </w:rPr>
        <w:t>the statement</w:t>
      </w:r>
      <w:r w:rsidRPr="00D62FE3">
        <w:rPr>
          <w:sz w:val="24"/>
          <w:szCs w:val="24"/>
        </w:rPr>
        <w:t xml:space="preserve">.  </w:t>
      </w:r>
      <w:r w:rsidR="00916F0B">
        <w:rPr>
          <w:sz w:val="24"/>
          <w:szCs w:val="24"/>
        </w:rPr>
        <w:t>Determining meaning first has the potential to stifle the s.3(2) determination.</w:t>
      </w:r>
      <w:r w:rsidR="004B7F8F">
        <w:rPr>
          <w:rStyle w:val="FootnoteReference"/>
          <w:sz w:val="24"/>
          <w:szCs w:val="24"/>
        </w:rPr>
        <w:footnoteReference w:id="32"/>
      </w:r>
      <w:r w:rsidR="00916F0B">
        <w:rPr>
          <w:sz w:val="24"/>
          <w:szCs w:val="24"/>
        </w:rPr>
        <w:t xml:space="preserve">  </w:t>
      </w:r>
    </w:p>
    <w:p w14:paraId="3EB6A79B" w14:textId="6B2B2B0D" w:rsidR="00D62FE3" w:rsidRDefault="00D62FE3" w:rsidP="00CB0DD7">
      <w:pPr>
        <w:pStyle w:val="ListParagraph"/>
        <w:numPr>
          <w:ilvl w:val="0"/>
          <w:numId w:val="1"/>
        </w:numPr>
        <w:spacing w:before="240" w:after="240" w:line="360" w:lineRule="auto"/>
        <w:ind w:left="357" w:hanging="357"/>
        <w:contextualSpacing w:val="0"/>
        <w:rPr>
          <w:sz w:val="24"/>
          <w:szCs w:val="24"/>
        </w:rPr>
      </w:pPr>
      <w:r w:rsidRPr="00D62FE3">
        <w:rPr>
          <w:sz w:val="24"/>
          <w:szCs w:val="24"/>
        </w:rPr>
        <w:t xml:space="preserve">If D succeeds on s.3(2) it makes sense to determine </w:t>
      </w:r>
      <w:r>
        <w:rPr>
          <w:sz w:val="24"/>
          <w:szCs w:val="24"/>
        </w:rPr>
        <w:t xml:space="preserve">next </w:t>
      </w:r>
      <w:r w:rsidRPr="00D62FE3">
        <w:rPr>
          <w:sz w:val="24"/>
          <w:szCs w:val="24"/>
        </w:rPr>
        <w:t xml:space="preserve">each of the remaining elements of s.3 in order.  S.3(3) is relevant to the facts that may be relied for the purposes of s.3(4).  The reason why an honest person could hold the opinion </w:t>
      </w:r>
      <w:r w:rsidR="005B45DE">
        <w:rPr>
          <w:sz w:val="24"/>
          <w:szCs w:val="24"/>
        </w:rPr>
        <w:t>(</w:t>
      </w:r>
      <w:r w:rsidRPr="00D62FE3">
        <w:rPr>
          <w:sz w:val="24"/>
          <w:szCs w:val="24"/>
        </w:rPr>
        <w:t>for the purposes of s.3(4)</w:t>
      </w:r>
      <w:r w:rsidR="005B45DE">
        <w:rPr>
          <w:sz w:val="24"/>
          <w:szCs w:val="24"/>
        </w:rPr>
        <w:t>)</w:t>
      </w:r>
      <w:r w:rsidRPr="00D62FE3">
        <w:rPr>
          <w:sz w:val="24"/>
          <w:szCs w:val="24"/>
        </w:rPr>
        <w:t xml:space="preserve"> is relevant to whether </w:t>
      </w:r>
      <w:r w:rsidR="008C1948">
        <w:rPr>
          <w:sz w:val="24"/>
          <w:szCs w:val="24"/>
        </w:rPr>
        <w:t xml:space="preserve">there </w:t>
      </w:r>
      <w:r w:rsidRPr="00D62FE3">
        <w:rPr>
          <w:sz w:val="24"/>
          <w:szCs w:val="24"/>
        </w:rPr>
        <w:t xml:space="preserve">is a probable case that the defendant did not hold the opinion </w:t>
      </w:r>
      <w:r w:rsidR="005B45DE">
        <w:rPr>
          <w:sz w:val="24"/>
          <w:szCs w:val="24"/>
        </w:rPr>
        <w:t>(</w:t>
      </w:r>
      <w:r w:rsidRPr="00D62FE3">
        <w:rPr>
          <w:sz w:val="24"/>
          <w:szCs w:val="24"/>
        </w:rPr>
        <w:t>for the purposes of s.3(5)</w:t>
      </w:r>
      <w:r w:rsidR="005B45DE">
        <w:rPr>
          <w:sz w:val="24"/>
          <w:szCs w:val="24"/>
        </w:rPr>
        <w:t>)</w:t>
      </w:r>
      <w:r w:rsidRPr="00D62FE3">
        <w:rPr>
          <w:sz w:val="24"/>
          <w:szCs w:val="24"/>
        </w:rPr>
        <w:t>.</w:t>
      </w:r>
      <w:r w:rsidR="008C1948">
        <w:rPr>
          <w:rStyle w:val="FootnoteReference"/>
          <w:sz w:val="24"/>
          <w:szCs w:val="24"/>
        </w:rPr>
        <w:footnoteReference w:id="33"/>
      </w:r>
      <w:r w:rsidRPr="00D62FE3">
        <w:rPr>
          <w:sz w:val="24"/>
          <w:szCs w:val="24"/>
        </w:rPr>
        <w:t xml:space="preserve">  </w:t>
      </w:r>
    </w:p>
    <w:p w14:paraId="445682A4" w14:textId="4AA0620A" w:rsidR="005F6086" w:rsidRPr="00D62FE3" w:rsidRDefault="00D62FE3" w:rsidP="00CB0DD7">
      <w:pPr>
        <w:pStyle w:val="ListParagraph"/>
        <w:numPr>
          <w:ilvl w:val="0"/>
          <w:numId w:val="1"/>
        </w:numPr>
        <w:spacing w:before="240" w:after="240" w:line="360" w:lineRule="auto"/>
        <w:ind w:left="357" w:hanging="357"/>
        <w:contextualSpacing w:val="0"/>
        <w:rPr>
          <w:sz w:val="24"/>
          <w:szCs w:val="24"/>
        </w:rPr>
      </w:pPr>
      <w:r>
        <w:rPr>
          <w:sz w:val="24"/>
          <w:szCs w:val="24"/>
        </w:rPr>
        <w:t xml:space="preserve">Where there is a dispute as to whether an issue </w:t>
      </w:r>
      <w:r w:rsidR="00777E62">
        <w:rPr>
          <w:sz w:val="24"/>
          <w:szCs w:val="24"/>
        </w:rPr>
        <w:t xml:space="preserve">of construction/interpretation </w:t>
      </w:r>
      <w:r>
        <w:rPr>
          <w:sz w:val="24"/>
          <w:szCs w:val="24"/>
        </w:rPr>
        <w:t xml:space="preserve">should be determined by reference to a TPI or SJ standard it makes sense to determine the standard prior to the substantive determination of the issue.  If the determination is to be made </w:t>
      </w:r>
      <w:r w:rsidR="00322F60">
        <w:rPr>
          <w:sz w:val="24"/>
          <w:szCs w:val="24"/>
        </w:rPr>
        <w:t xml:space="preserve">to </w:t>
      </w:r>
      <w:r>
        <w:rPr>
          <w:sz w:val="24"/>
          <w:szCs w:val="24"/>
        </w:rPr>
        <w:t xml:space="preserve">a TPI standard, any possible difference in outcome on a SJ standard is irrelevant. </w:t>
      </w:r>
    </w:p>
    <w:p w14:paraId="7C5EC379" w14:textId="3A6D1397" w:rsidR="008C1948" w:rsidRDefault="008C1948" w:rsidP="00EA34F2">
      <w:pPr>
        <w:pStyle w:val="ListParagraph"/>
        <w:numPr>
          <w:ilvl w:val="0"/>
          <w:numId w:val="1"/>
        </w:numPr>
        <w:spacing w:before="240" w:after="240" w:line="360" w:lineRule="auto"/>
        <w:ind w:left="357" w:hanging="357"/>
        <w:contextualSpacing w:val="0"/>
        <w:rPr>
          <w:sz w:val="24"/>
          <w:szCs w:val="24"/>
        </w:rPr>
      </w:pPr>
      <w:r>
        <w:rPr>
          <w:sz w:val="24"/>
          <w:szCs w:val="24"/>
        </w:rPr>
        <w:t xml:space="preserve">The Judge determined the SJ application on s.2, s.3(4) and s.3(5) prior to his TPI determinations on s.2 and s.3(4).  He rejected the SJ application on s.2 and s.3(4) </w:t>
      </w:r>
      <w:r w:rsidR="00B96DC6">
        <w:rPr>
          <w:sz w:val="24"/>
          <w:szCs w:val="24"/>
        </w:rPr>
        <w:t xml:space="preserve">at </w:t>
      </w:r>
      <w:r w:rsidR="00777E62">
        <w:rPr>
          <w:sz w:val="24"/>
          <w:szCs w:val="24"/>
        </w:rPr>
        <w:t xml:space="preserve">[118] merely by reciting the SJ standard.  </w:t>
      </w:r>
      <w:r>
        <w:rPr>
          <w:sz w:val="24"/>
          <w:szCs w:val="24"/>
        </w:rPr>
        <w:t xml:space="preserve">He then gave his sole reason at [119] for rejecting the application on s.3(5).   </w:t>
      </w:r>
    </w:p>
    <w:p w14:paraId="32D98016" w14:textId="2ECC4277" w:rsidR="005F6086" w:rsidRDefault="008C1948" w:rsidP="00CB0DD7">
      <w:pPr>
        <w:pStyle w:val="ListParagraph"/>
        <w:numPr>
          <w:ilvl w:val="0"/>
          <w:numId w:val="1"/>
        </w:numPr>
        <w:spacing w:before="240" w:after="240" w:line="360" w:lineRule="auto"/>
        <w:ind w:left="357" w:hanging="357"/>
        <w:contextualSpacing w:val="0"/>
        <w:rPr>
          <w:sz w:val="24"/>
          <w:szCs w:val="24"/>
        </w:rPr>
      </w:pPr>
      <w:r w:rsidRPr="008C1948">
        <w:rPr>
          <w:sz w:val="24"/>
          <w:szCs w:val="24"/>
        </w:rPr>
        <w:t xml:space="preserve">It was not until [135] that the Judge accepted the s.3(4) case on a TPI standard.  He did not give any reason for </w:t>
      </w:r>
      <w:r>
        <w:rPr>
          <w:sz w:val="24"/>
          <w:szCs w:val="24"/>
        </w:rPr>
        <w:t xml:space="preserve">doing so.  </w:t>
      </w:r>
      <w:r w:rsidR="00ED5981">
        <w:rPr>
          <w:sz w:val="24"/>
          <w:szCs w:val="24"/>
        </w:rPr>
        <w:t>(</w:t>
      </w:r>
      <w:r>
        <w:rPr>
          <w:sz w:val="24"/>
          <w:szCs w:val="24"/>
        </w:rPr>
        <w:t>Since the finding was in D’s favour, it was not for D to request such reasoning</w:t>
      </w:r>
      <w:r w:rsidR="00ED5981">
        <w:rPr>
          <w:sz w:val="24"/>
          <w:szCs w:val="24"/>
        </w:rPr>
        <w:t>)</w:t>
      </w:r>
      <w:r>
        <w:rPr>
          <w:sz w:val="24"/>
          <w:szCs w:val="24"/>
        </w:rPr>
        <w:t xml:space="preserve">.  </w:t>
      </w:r>
      <w:r w:rsidR="00B96DC6">
        <w:rPr>
          <w:sz w:val="24"/>
          <w:szCs w:val="24"/>
        </w:rPr>
        <w:t xml:space="preserve">It appears that </w:t>
      </w:r>
      <w:r w:rsidR="005B45DE">
        <w:rPr>
          <w:sz w:val="24"/>
          <w:szCs w:val="24"/>
        </w:rPr>
        <w:t xml:space="preserve">the finding </w:t>
      </w:r>
      <w:r w:rsidR="00777E62">
        <w:rPr>
          <w:sz w:val="24"/>
          <w:szCs w:val="24"/>
        </w:rPr>
        <w:t xml:space="preserve">is based on </w:t>
      </w:r>
      <w:r>
        <w:rPr>
          <w:sz w:val="24"/>
          <w:szCs w:val="24"/>
        </w:rPr>
        <w:t>D’s submission recorded at [103]: “</w:t>
      </w:r>
      <w:r w:rsidRPr="00962A04">
        <w:rPr>
          <w:i/>
          <w:iCs/>
          <w:sz w:val="24"/>
          <w:szCs w:val="24"/>
        </w:rPr>
        <w:t>In reply, Mr Price accepts the point that the honest opinion defence cannot succeed if the remainder of the interview contradicted the meaning of the narrow question and answer relied upon, but contends that that does not arise here</w:t>
      </w:r>
      <w:r w:rsidRPr="00606963">
        <w:rPr>
          <w:sz w:val="24"/>
          <w:szCs w:val="24"/>
        </w:rPr>
        <w:t>.</w:t>
      </w:r>
      <w:r>
        <w:rPr>
          <w:sz w:val="24"/>
          <w:szCs w:val="24"/>
        </w:rPr>
        <w:t xml:space="preserve">” </w:t>
      </w:r>
      <w:r w:rsidR="00B96DC6">
        <w:rPr>
          <w:sz w:val="24"/>
          <w:szCs w:val="24"/>
        </w:rPr>
        <w:t xml:space="preserve">This was a reference to D’s submissions on the alleged knockout blows. </w:t>
      </w:r>
    </w:p>
    <w:p w14:paraId="14E464A7" w14:textId="5F1E8711" w:rsidR="00B96DC6" w:rsidRDefault="00B96DC6" w:rsidP="00CB0DD7">
      <w:pPr>
        <w:pStyle w:val="ListParagraph"/>
        <w:numPr>
          <w:ilvl w:val="0"/>
          <w:numId w:val="1"/>
        </w:numPr>
        <w:spacing w:before="240" w:after="240" w:line="360" w:lineRule="auto"/>
        <w:ind w:left="357" w:hanging="357"/>
        <w:contextualSpacing w:val="0"/>
        <w:rPr>
          <w:sz w:val="24"/>
          <w:szCs w:val="24"/>
        </w:rPr>
      </w:pPr>
      <w:r>
        <w:rPr>
          <w:sz w:val="24"/>
          <w:szCs w:val="24"/>
        </w:rPr>
        <w:t xml:space="preserve">In order to reconcile </w:t>
      </w:r>
      <w:r w:rsidR="004B7F8F">
        <w:rPr>
          <w:sz w:val="24"/>
          <w:szCs w:val="24"/>
        </w:rPr>
        <w:t xml:space="preserve">a TPI </w:t>
      </w:r>
      <w:r>
        <w:rPr>
          <w:sz w:val="24"/>
          <w:szCs w:val="24"/>
        </w:rPr>
        <w:t xml:space="preserve">finding </w:t>
      </w:r>
      <w:r w:rsidR="004B7F8F">
        <w:rPr>
          <w:sz w:val="24"/>
          <w:szCs w:val="24"/>
        </w:rPr>
        <w:t xml:space="preserve">for a defendant </w:t>
      </w:r>
      <w:r>
        <w:rPr>
          <w:sz w:val="24"/>
          <w:szCs w:val="24"/>
        </w:rPr>
        <w:t xml:space="preserve">on s.3(4) and </w:t>
      </w:r>
      <w:r w:rsidR="004B7F8F">
        <w:rPr>
          <w:sz w:val="24"/>
          <w:szCs w:val="24"/>
        </w:rPr>
        <w:t xml:space="preserve">a </w:t>
      </w:r>
      <w:r>
        <w:rPr>
          <w:sz w:val="24"/>
          <w:szCs w:val="24"/>
        </w:rPr>
        <w:t xml:space="preserve">SJ finding </w:t>
      </w:r>
      <w:r w:rsidR="004B7F8F">
        <w:rPr>
          <w:sz w:val="24"/>
          <w:szCs w:val="24"/>
        </w:rPr>
        <w:t xml:space="preserve">for the claimant </w:t>
      </w:r>
      <w:r>
        <w:rPr>
          <w:sz w:val="24"/>
          <w:szCs w:val="24"/>
        </w:rPr>
        <w:t xml:space="preserve">on s.3(5) </w:t>
      </w:r>
      <w:r w:rsidR="004B7F8F">
        <w:rPr>
          <w:sz w:val="24"/>
          <w:szCs w:val="24"/>
        </w:rPr>
        <w:t xml:space="preserve">a judge </w:t>
      </w:r>
      <w:r>
        <w:rPr>
          <w:sz w:val="24"/>
          <w:szCs w:val="24"/>
        </w:rPr>
        <w:t>ha</w:t>
      </w:r>
      <w:r w:rsidR="004B7F8F">
        <w:rPr>
          <w:sz w:val="24"/>
          <w:szCs w:val="24"/>
        </w:rPr>
        <w:t>s</w:t>
      </w:r>
      <w:r>
        <w:rPr>
          <w:sz w:val="24"/>
          <w:szCs w:val="24"/>
        </w:rPr>
        <w:t xml:space="preserve"> to explain why an honest person could hold the </w:t>
      </w:r>
      <w:r w:rsidR="004B7F8F">
        <w:rPr>
          <w:sz w:val="24"/>
          <w:szCs w:val="24"/>
        </w:rPr>
        <w:t xml:space="preserve">opinion </w:t>
      </w:r>
      <w:r>
        <w:rPr>
          <w:sz w:val="24"/>
          <w:szCs w:val="24"/>
        </w:rPr>
        <w:t xml:space="preserve">(including by reference to the </w:t>
      </w:r>
      <w:r w:rsidR="004B7F8F">
        <w:rPr>
          <w:sz w:val="24"/>
          <w:szCs w:val="24"/>
        </w:rPr>
        <w:t>points on which the claimant relies on s.3(4)</w:t>
      </w:r>
      <w:r>
        <w:rPr>
          <w:sz w:val="24"/>
          <w:szCs w:val="24"/>
        </w:rPr>
        <w:t xml:space="preserve">) but </w:t>
      </w:r>
      <w:r w:rsidR="00C11D6E">
        <w:rPr>
          <w:sz w:val="24"/>
          <w:szCs w:val="24"/>
        </w:rPr>
        <w:t>there is</w:t>
      </w:r>
      <w:r w:rsidR="00777E62">
        <w:rPr>
          <w:sz w:val="24"/>
          <w:szCs w:val="24"/>
        </w:rPr>
        <w:t>, nevertheless,</w:t>
      </w:r>
      <w:r>
        <w:rPr>
          <w:sz w:val="24"/>
          <w:szCs w:val="24"/>
        </w:rPr>
        <w:t xml:space="preserve"> </w:t>
      </w:r>
      <w:r w:rsidR="00C11D6E">
        <w:rPr>
          <w:sz w:val="24"/>
          <w:szCs w:val="24"/>
        </w:rPr>
        <w:t xml:space="preserve">a sufficiently </w:t>
      </w:r>
      <w:r>
        <w:rPr>
          <w:sz w:val="24"/>
          <w:szCs w:val="24"/>
        </w:rPr>
        <w:t xml:space="preserve">probable </w:t>
      </w:r>
      <w:r w:rsidR="00C11D6E">
        <w:rPr>
          <w:sz w:val="24"/>
          <w:szCs w:val="24"/>
        </w:rPr>
        <w:t xml:space="preserve">case </w:t>
      </w:r>
      <w:r>
        <w:rPr>
          <w:sz w:val="24"/>
          <w:szCs w:val="24"/>
        </w:rPr>
        <w:t xml:space="preserve">that </w:t>
      </w:r>
      <w:r w:rsidR="004B7F8F">
        <w:rPr>
          <w:sz w:val="24"/>
          <w:szCs w:val="24"/>
        </w:rPr>
        <w:t>the defendant</w:t>
      </w:r>
      <w:r w:rsidR="004F7122">
        <w:rPr>
          <w:sz w:val="24"/>
          <w:szCs w:val="24"/>
        </w:rPr>
        <w:t xml:space="preserve"> did not hold it</w:t>
      </w:r>
      <w:r w:rsidR="004B7F8F">
        <w:rPr>
          <w:sz w:val="24"/>
          <w:szCs w:val="24"/>
        </w:rPr>
        <w:t xml:space="preserve">. This requires s.3(4) </w:t>
      </w:r>
      <w:r w:rsidR="0032735C">
        <w:rPr>
          <w:sz w:val="24"/>
          <w:szCs w:val="24"/>
        </w:rPr>
        <w:t xml:space="preserve">to be determined prior to s.3(5).  </w:t>
      </w:r>
      <w:r>
        <w:rPr>
          <w:sz w:val="24"/>
          <w:szCs w:val="24"/>
        </w:rPr>
        <w:t>No such reconciliation was attempted</w:t>
      </w:r>
      <w:r w:rsidR="0032735C">
        <w:rPr>
          <w:sz w:val="24"/>
          <w:szCs w:val="24"/>
        </w:rPr>
        <w:t xml:space="preserve"> by the Judge</w:t>
      </w:r>
      <w:r>
        <w:rPr>
          <w:sz w:val="24"/>
          <w:szCs w:val="24"/>
        </w:rPr>
        <w:t xml:space="preserve">. </w:t>
      </w:r>
    </w:p>
    <w:p w14:paraId="13ABC4E2" w14:textId="60ABF4B0" w:rsidR="00777E62" w:rsidRPr="00777E62" w:rsidRDefault="00777E62" w:rsidP="00777E62">
      <w:pPr>
        <w:spacing w:before="240" w:after="240" w:line="360" w:lineRule="auto"/>
        <w:rPr>
          <w:sz w:val="24"/>
          <w:szCs w:val="24"/>
          <w:u w:val="single"/>
        </w:rPr>
      </w:pPr>
      <w:bookmarkStart w:id="16" w:name="_Hlk194496865"/>
      <w:r w:rsidRPr="00777E62">
        <w:rPr>
          <w:sz w:val="24"/>
          <w:szCs w:val="24"/>
          <w:u w:val="single"/>
        </w:rPr>
        <w:t xml:space="preserve">The tolerance to C not having </w:t>
      </w:r>
      <w:r w:rsidR="00CB0DD7">
        <w:rPr>
          <w:sz w:val="24"/>
          <w:szCs w:val="24"/>
          <w:u w:val="single"/>
        </w:rPr>
        <w:t xml:space="preserve">properly </w:t>
      </w:r>
      <w:r w:rsidRPr="00777E62">
        <w:rPr>
          <w:sz w:val="24"/>
          <w:szCs w:val="24"/>
          <w:u w:val="single"/>
        </w:rPr>
        <w:t>stated a s.3(5) case</w:t>
      </w:r>
    </w:p>
    <w:bookmarkEnd w:id="16"/>
    <w:p w14:paraId="61EE1DF7" w14:textId="3E551F94" w:rsidR="00FA35BA" w:rsidRDefault="00777E62" w:rsidP="00777E62">
      <w:pPr>
        <w:pStyle w:val="ListParagraph"/>
        <w:numPr>
          <w:ilvl w:val="0"/>
          <w:numId w:val="1"/>
        </w:numPr>
        <w:spacing w:before="240" w:after="240" w:line="360" w:lineRule="auto"/>
        <w:contextualSpacing w:val="0"/>
        <w:rPr>
          <w:sz w:val="24"/>
          <w:szCs w:val="24"/>
        </w:rPr>
      </w:pPr>
      <w:r>
        <w:rPr>
          <w:sz w:val="24"/>
          <w:szCs w:val="24"/>
        </w:rPr>
        <w:t xml:space="preserve">A defamation claimant facing a reverse SJ application </w:t>
      </w:r>
      <w:r w:rsidR="00FA35BA">
        <w:rPr>
          <w:sz w:val="24"/>
          <w:szCs w:val="24"/>
        </w:rPr>
        <w:t xml:space="preserve">has the </w:t>
      </w:r>
      <w:r>
        <w:rPr>
          <w:sz w:val="24"/>
          <w:szCs w:val="24"/>
        </w:rPr>
        <w:t xml:space="preserve">usual evidential burden, as the respondent carrying the burden of proof on the underlying issue, </w:t>
      </w:r>
      <w:r w:rsidRPr="0096444F">
        <w:rPr>
          <w:sz w:val="24"/>
          <w:szCs w:val="24"/>
        </w:rPr>
        <w:t xml:space="preserve">to </w:t>
      </w:r>
      <w:r w:rsidR="00FA35BA">
        <w:rPr>
          <w:sz w:val="24"/>
          <w:szCs w:val="24"/>
        </w:rPr>
        <w:t xml:space="preserve">establish </w:t>
      </w:r>
      <w:r w:rsidRPr="0096444F">
        <w:rPr>
          <w:sz w:val="24"/>
          <w:szCs w:val="24"/>
        </w:rPr>
        <w:t>some real prospect of success</w:t>
      </w:r>
      <w:r>
        <w:rPr>
          <w:sz w:val="24"/>
          <w:szCs w:val="24"/>
        </w:rPr>
        <w:t>.</w:t>
      </w:r>
      <w:r>
        <w:rPr>
          <w:rStyle w:val="FootnoteReference"/>
          <w:sz w:val="24"/>
          <w:szCs w:val="24"/>
        </w:rPr>
        <w:footnoteReference w:id="34"/>
      </w:r>
      <w:r>
        <w:rPr>
          <w:sz w:val="24"/>
          <w:szCs w:val="24"/>
        </w:rPr>
        <w:t xml:space="preserve"> </w:t>
      </w:r>
      <w:r w:rsidR="00FA35BA">
        <w:rPr>
          <w:sz w:val="24"/>
          <w:szCs w:val="24"/>
        </w:rPr>
        <w:t xml:space="preserve">A case of dishonesty is often inference based without any material conflict of primary evidence. Accordingly, the claimant </w:t>
      </w:r>
      <w:r w:rsidR="005B45DE">
        <w:rPr>
          <w:sz w:val="24"/>
          <w:szCs w:val="24"/>
        </w:rPr>
        <w:t xml:space="preserve">may </w:t>
      </w:r>
      <w:r w:rsidR="00FA35BA">
        <w:rPr>
          <w:sz w:val="24"/>
          <w:szCs w:val="24"/>
        </w:rPr>
        <w:t>not be able to adduce any admissible evidence on the issue</w:t>
      </w:r>
      <w:r w:rsidR="005B45DE">
        <w:rPr>
          <w:sz w:val="24"/>
          <w:szCs w:val="24"/>
        </w:rPr>
        <w:t xml:space="preserve"> itself</w:t>
      </w:r>
      <w:r w:rsidR="00FA35BA">
        <w:rPr>
          <w:sz w:val="24"/>
          <w:szCs w:val="24"/>
        </w:rPr>
        <w:t xml:space="preserve">.  </w:t>
      </w:r>
    </w:p>
    <w:p w14:paraId="34DC76E6" w14:textId="5C7834F1" w:rsidR="00901E03" w:rsidRDefault="005B45DE" w:rsidP="00777E62">
      <w:pPr>
        <w:pStyle w:val="ListParagraph"/>
        <w:numPr>
          <w:ilvl w:val="0"/>
          <w:numId w:val="1"/>
        </w:numPr>
        <w:spacing w:before="240" w:after="240" w:line="360" w:lineRule="auto"/>
        <w:contextualSpacing w:val="0"/>
        <w:rPr>
          <w:sz w:val="24"/>
          <w:szCs w:val="24"/>
        </w:rPr>
      </w:pPr>
      <w:r>
        <w:rPr>
          <w:sz w:val="24"/>
          <w:szCs w:val="24"/>
        </w:rPr>
        <w:t xml:space="preserve">Nevertheless, </w:t>
      </w:r>
      <w:r w:rsidR="00FA35BA">
        <w:rPr>
          <w:sz w:val="24"/>
          <w:szCs w:val="24"/>
        </w:rPr>
        <w:t xml:space="preserve">any case of dishonesty to be advanced in a reply would require a signed statement of truth.  It follows that in order to contest a s.3(5) SJ application a claimant must, at a minimum, state that he believes </w:t>
      </w:r>
      <w:r w:rsidR="00116F2A">
        <w:rPr>
          <w:sz w:val="24"/>
          <w:szCs w:val="24"/>
        </w:rPr>
        <w:t xml:space="preserve">that </w:t>
      </w:r>
      <w:r w:rsidR="00FA35BA">
        <w:rPr>
          <w:sz w:val="24"/>
          <w:szCs w:val="24"/>
        </w:rPr>
        <w:t xml:space="preserve">the defendant did not hold the opinion and intends to advance such an allegation. </w:t>
      </w:r>
    </w:p>
    <w:p w14:paraId="02A870A6" w14:textId="5CC07E54" w:rsidR="00901E03" w:rsidRDefault="00FA35BA" w:rsidP="00777E62">
      <w:pPr>
        <w:pStyle w:val="ListParagraph"/>
        <w:numPr>
          <w:ilvl w:val="0"/>
          <w:numId w:val="1"/>
        </w:numPr>
        <w:spacing w:before="240" w:after="240" w:line="360" w:lineRule="auto"/>
        <w:contextualSpacing w:val="0"/>
        <w:rPr>
          <w:sz w:val="24"/>
          <w:szCs w:val="24"/>
        </w:rPr>
      </w:pPr>
      <w:bookmarkStart w:id="17" w:name="_Hlk194494100"/>
      <w:r>
        <w:rPr>
          <w:sz w:val="24"/>
          <w:szCs w:val="24"/>
        </w:rPr>
        <w:t xml:space="preserve">Further, the </w:t>
      </w:r>
      <w:r w:rsidR="005B45DE">
        <w:rPr>
          <w:sz w:val="24"/>
          <w:szCs w:val="24"/>
        </w:rPr>
        <w:t xml:space="preserve">claimant </w:t>
      </w:r>
      <w:r>
        <w:rPr>
          <w:sz w:val="24"/>
          <w:szCs w:val="24"/>
        </w:rPr>
        <w:t>should identify the facts on which he intends to rely to invite the inference of dishonesty</w:t>
      </w:r>
      <w:r w:rsidR="00901E03">
        <w:rPr>
          <w:sz w:val="24"/>
          <w:szCs w:val="24"/>
        </w:rPr>
        <w:t xml:space="preserve">. This enables the </w:t>
      </w:r>
      <w:r w:rsidR="0032735C">
        <w:rPr>
          <w:sz w:val="24"/>
          <w:szCs w:val="24"/>
        </w:rPr>
        <w:t xml:space="preserve">defendant to address them in reply evidence, if appropriate, and for the </w:t>
      </w:r>
      <w:r w:rsidR="00901E03">
        <w:rPr>
          <w:sz w:val="24"/>
          <w:szCs w:val="24"/>
        </w:rPr>
        <w:t xml:space="preserve">court to comply with its duty to apply the probability test to each of them. </w:t>
      </w:r>
    </w:p>
    <w:p w14:paraId="278E408A" w14:textId="79528549" w:rsidR="00901E03" w:rsidRPr="0032735C" w:rsidRDefault="00901E03" w:rsidP="0032735C">
      <w:pPr>
        <w:spacing w:before="240" w:after="240" w:line="360" w:lineRule="auto"/>
        <w:rPr>
          <w:b/>
          <w:bCs/>
          <w:sz w:val="24"/>
          <w:szCs w:val="24"/>
        </w:rPr>
      </w:pPr>
      <w:bookmarkStart w:id="18" w:name="_Hlk194496851"/>
      <w:bookmarkEnd w:id="17"/>
      <w:r w:rsidRPr="0032735C">
        <w:rPr>
          <w:b/>
          <w:bCs/>
          <w:sz w:val="24"/>
          <w:szCs w:val="24"/>
        </w:rPr>
        <w:t>Other matters referred to by C in relation to s.3(5)</w:t>
      </w:r>
    </w:p>
    <w:bookmarkEnd w:id="18"/>
    <w:p w14:paraId="4524A633" w14:textId="6B4B9AAA" w:rsidR="00BB24AE" w:rsidRDefault="001D7F55" w:rsidP="00ED5981">
      <w:pPr>
        <w:pStyle w:val="ListParagraph"/>
        <w:numPr>
          <w:ilvl w:val="0"/>
          <w:numId w:val="1"/>
        </w:numPr>
        <w:spacing w:before="240" w:after="240" w:line="360" w:lineRule="auto"/>
        <w:contextualSpacing w:val="0"/>
        <w:rPr>
          <w:sz w:val="24"/>
          <w:szCs w:val="24"/>
        </w:rPr>
      </w:pPr>
      <w:r>
        <w:rPr>
          <w:sz w:val="24"/>
          <w:szCs w:val="24"/>
        </w:rPr>
        <w:t xml:space="preserve">C’s </w:t>
      </w:r>
      <w:r w:rsidR="00513766">
        <w:rPr>
          <w:sz w:val="24"/>
          <w:szCs w:val="24"/>
        </w:rPr>
        <w:t xml:space="preserve">submissions </w:t>
      </w:r>
      <w:r>
        <w:rPr>
          <w:sz w:val="24"/>
          <w:szCs w:val="24"/>
        </w:rPr>
        <w:t>referred to two other matters</w:t>
      </w:r>
      <w:r w:rsidR="00E2460B">
        <w:rPr>
          <w:sz w:val="24"/>
          <w:szCs w:val="24"/>
        </w:rPr>
        <w:t xml:space="preserve"> in support of a s.3(5) case</w:t>
      </w:r>
      <w:r w:rsidR="004F7122">
        <w:rPr>
          <w:sz w:val="24"/>
          <w:szCs w:val="24"/>
        </w:rPr>
        <w:t>, not relied on by the Judge</w:t>
      </w:r>
      <w:r>
        <w:rPr>
          <w:sz w:val="24"/>
          <w:szCs w:val="24"/>
        </w:rPr>
        <w:t xml:space="preserve">.  First, a political motive </w:t>
      </w:r>
      <w:r w:rsidRPr="001D7F55">
        <w:rPr>
          <w:sz w:val="24"/>
          <w:szCs w:val="24"/>
        </w:rPr>
        <w:t>to  deflect  attention</w:t>
      </w:r>
      <w:r w:rsidR="00513766">
        <w:rPr>
          <w:sz w:val="24"/>
          <w:szCs w:val="24"/>
        </w:rPr>
        <w:t xml:space="preserve"> </w:t>
      </w:r>
      <w:r w:rsidRPr="001D7F55">
        <w:rPr>
          <w:sz w:val="24"/>
          <w:szCs w:val="24"/>
        </w:rPr>
        <w:t>away</w:t>
      </w:r>
      <w:r w:rsidR="00513766">
        <w:rPr>
          <w:sz w:val="24"/>
          <w:szCs w:val="24"/>
        </w:rPr>
        <w:t xml:space="preserve"> </w:t>
      </w:r>
      <w:r w:rsidRPr="001D7F55">
        <w:rPr>
          <w:sz w:val="24"/>
          <w:szCs w:val="24"/>
        </w:rPr>
        <w:t>from</w:t>
      </w:r>
      <w:r w:rsidR="00513766">
        <w:rPr>
          <w:sz w:val="24"/>
          <w:szCs w:val="24"/>
        </w:rPr>
        <w:t xml:space="preserve"> </w:t>
      </w:r>
      <w:r w:rsidRPr="001D7F55">
        <w:rPr>
          <w:sz w:val="24"/>
          <w:szCs w:val="24"/>
        </w:rPr>
        <w:t>the</w:t>
      </w:r>
      <w:r w:rsidR="00513766">
        <w:rPr>
          <w:sz w:val="24"/>
          <w:szCs w:val="24"/>
        </w:rPr>
        <w:t xml:space="preserve"> </w:t>
      </w:r>
      <w:r w:rsidRPr="001D7F55">
        <w:rPr>
          <w:sz w:val="24"/>
          <w:szCs w:val="24"/>
        </w:rPr>
        <w:t>scandal</w:t>
      </w:r>
      <w:r>
        <w:rPr>
          <w:sz w:val="24"/>
          <w:szCs w:val="24"/>
        </w:rPr>
        <w:t xml:space="preserve"> </w:t>
      </w:r>
      <w:r w:rsidRPr="001D7F55">
        <w:rPr>
          <w:sz w:val="24"/>
          <w:szCs w:val="24"/>
        </w:rPr>
        <w:t xml:space="preserve">concerning </w:t>
      </w:r>
      <w:r>
        <w:rPr>
          <w:sz w:val="24"/>
          <w:szCs w:val="24"/>
        </w:rPr>
        <w:t xml:space="preserve">Frank </w:t>
      </w:r>
      <w:r w:rsidRPr="001D7F55">
        <w:rPr>
          <w:sz w:val="24"/>
          <w:szCs w:val="24"/>
        </w:rPr>
        <w:t>Hester's donation</w:t>
      </w:r>
      <w:r>
        <w:rPr>
          <w:sz w:val="24"/>
          <w:szCs w:val="24"/>
        </w:rPr>
        <w:t xml:space="preserve"> to the Conservatives.</w:t>
      </w:r>
      <w:r w:rsidR="0032735C">
        <w:rPr>
          <w:rStyle w:val="FootnoteReference"/>
          <w:sz w:val="24"/>
          <w:szCs w:val="24"/>
        </w:rPr>
        <w:footnoteReference w:id="35"/>
      </w:r>
      <w:r>
        <w:rPr>
          <w:sz w:val="24"/>
          <w:szCs w:val="24"/>
        </w:rPr>
        <w:t xml:space="preserve"> Second, </w:t>
      </w:r>
      <w:r w:rsidR="00BB24AE">
        <w:rPr>
          <w:sz w:val="24"/>
          <w:szCs w:val="24"/>
        </w:rPr>
        <w:t xml:space="preserve">post-publication correspondence </w:t>
      </w:r>
      <w:r w:rsidR="004F7122">
        <w:rPr>
          <w:sz w:val="24"/>
          <w:szCs w:val="24"/>
        </w:rPr>
        <w:t xml:space="preserve">of </w:t>
      </w:r>
      <w:r w:rsidR="00BB24AE">
        <w:rPr>
          <w:sz w:val="24"/>
          <w:szCs w:val="24"/>
        </w:rPr>
        <w:t>Coad Law manifesting “</w:t>
      </w:r>
      <w:r w:rsidR="00BB24AE" w:rsidRPr="006D70DF">
        <w:rPr>
          <w:i/>
          <w:iCs/>
          <w:sz w:val="24"/>
          <w:szCs w:val="24"/>
        </w:rPr>
        <w:t>extreme ill-will</w:t>
      </w:r>
      <w:r w:rsidR="00BB24AE">
        <w:rPr>
          <w:sz w:val="24"/>
          <w:szCs w:val="24"/>
        </w:rPr>
        <w:t>”.</w:t>
      </w:r>
      <w:r w:rsidR="0032735C">
        <w:rPr>
          <w:rStyle w:val="FootnoteReference"/>
          <w:sz w:val="24"/>
          <w:szCs w:val="24"/>
        </w:rPr>
        <w:footnoteReference w:id="36"/>
      </w:r>
      <w:r w:rsidR="00BB24AE">
        <w:rPr>
          <w:sz w:val="24"/>
          <w:szCs w:val="24"/>
        </w:rPr>
        <w:t xml:space="preserve">  </w:t>
      </w:r>
      <w:r w:rsidR="00E2460B">
        <w:rPr>
          <w:sz w:val="24"/>
          <w:szCs w:val="24"/>
        </w:rPr>
        <w:t>For the reasons set out below, n</w:t>
      </w:r>
      <w:r w:rsidR="00E2460B" w:rsidRPr="00967894">
        <w:rPr>
          <w:sz w:val="24"/>
          <w:szCs w:val="24"/>
        </w:rPr>
        <w:t xml:space="preserve">either </w:t>
      </w:r>
      <w:r w:rsidR="00CB0DA5">
        <w:rPr>
          <w:sz w:val="24"/>
          <w:szCs w:val="24"/>
        </w:rPr>
        <w:t xml:space="preserve">can </w:t>
      </w:r>
      <w:r w:rsidR="00E2460B" w:rsidRPr="00967894">
        <w:rPr>
          <w:sz w:val="24"/>
          <w:szCs w:val="24"/>
        </w:rPr>
        <w:t xml:space="preserve">sustain a s.3(5) case if the Interview </w:t>
      </w:r>
      <w:r w:rsidR="00CB0DA5">
        <w:rPr>
          <w:sz w:val="24"/>
          <w:szCs w:val="24"/>
        </w:rPr>
        <w:t>cannot.</w:t>
      </w:r>
    </w:p>
    <w:p w14:paraId="780C9893" w14:textId="0373DD9E" w:rsidR="00867A95" w:rsidRDefault="00BB24AE" w:rsidP="00ED5981">
      <w:pPr>
        <w:pStyle w:val="ListParagraph"/>
        <w:numPr>
          <w:ilvl w:val="0"/>
          <w:numId w:val="1"/>
        </w:numPr>
        <w:spacing w:before="240" w:after="240" w:line="360" w:lineRule="auto"/>
        <w:contextualSpacing w:val="0"/>
        <w:rPr>
          <w:sz w:val="24"/>
          <w:szCs w:val="24"/>
        </w:rPr>
      </w:pPr>
      <w:r>
        <w:rPr>
          <w:sz w:val="24"/>
          <w:szCs w:val="24"/>
        </w:rPr>
        <w:t xml:space="preserve">Lord Nicholls’ justification in </w:t>
      </w:r>
      <w:r w:rsidRPr="00BB24AE">
        <w:rPr>
          <w:i/>
          <w:iCs/>
          <w:sz w:val="24"/>
          <w:szCs w:val="24"/>
        </w:rPr>
        <w:t>Tse Wai Chun Paul v Cheng</w:t>
      </w:r>
      <w:r w:rsidRPr="00BB24AE">
        <w:rPr>
          <w:sz w:val="24"/>
          <w:szCs w:val="24"/>
        </w:rPr>
        <w:t xml:space="preserve"> [2001] EMLR 777 </w:t>
      </w:r>
      <w:r>
        <w:rPr>
          <w:sz w:val="24"/>
          <w:szCs w:val="24"/>
        </w:rPr>
        <w:t>for removing dominant improper motive from fair comment malice included</w:t>
      </w:r>
      <w:r w:rsidR="009D40AB">
        <w:rPr>
          <w:sz w:val="24"/>
          <w:szCs w:val="24"/>
        </w:rPr>
        <w:t xml:space="preserve"> at [45]</w:t>
      </w:r>
      <w:r w:rsidR="00867A95">
        <w:rPr>
          <w:sz w:val="24"/>
          <w:szCs w:val="24"/>
        </w:rPr>
        <w:t>:</w:t>
      </w:r>
    </w:p>
    <w:p w14:paraId="1AA805C5" w14:textId="778338D9" w:rsidR="00BB24AE" w:rsidRPr="00867A95" w:rsidRDefault="00867A95" w:rsidP="00867A95">
      <w:pPr>
        <w:pStyle w:val="ListParagraph"/>
        <w:spacing w:before="240" w:after="240" w:line="360" w:lineRule="auto"/>
        <w:ind w:left="360"/>
        <w:contextualSpacing w:val="0"/>
        <w:rPr>
          <w:i/>
          <w:iCs/>
          <w:sz w:val="24"/>
          <w:szCs w:val="24"/>
        </w:rPr>
      </w:pPr>
      <w:r w:rsidRPr="00867A95">
        <w:rPr>
          <w:i/>
          <w:iCs/>
          <w:sz w:val="24"/>
          <w:szCs w:val="24"/>
        </w:rPr>
        <w:t xml:space="preserve">“Commentators, of all shades of opinion, are entitled to ‘have their own agenda’.  Politicians, social reformers, busybodies, those with political or other ambitions and those with none, all can grind their axes.  The defence of fair comment envisages that everyone is at liberty to conduct social and political campaigns by expressing his own views, subject always, and I repeat the refrain, to the objective safeguards which mark the limits of the defence.”  </w:t>
      </w:r>
      <w:r w:rsidR="00BB24AE" w:rsidRPr="00867A95">
        <w:rPr>
          <w:i/>
          <w:iCs/>
          <w:sz w:val="24"/>
          <w:szCs w:val="24"/>
        </w:rPr>
        <w:t xml:space="preserve">  </w:t>
      </w:r>
    </w:p>
    <w:p w14:paraId="510F86E5" w14:textId="146357DA" w:rsidR="00867A95" w:rsidRDefault="00867A95" w:rsidP="00ED5981">
      <w:pPr>
        <w:pStyle w:val="ListParagraph"/>
        <w:numPr>
          <w:ilvl w:val="0"/>
          <w:numId w:val="1"/>
        </w:numPr>
        <w:spacing w:before="240" w:after="240" w:line="360" w:lineRule="auto"/>
        <w:contextualSpacing w:val="0"/>
        <w:rPr>
          <w:sz w:val="24"/>
          <w:szCs w:val="24"/>
        </w:rPr>
      </w:pPr>
      <w:r>
        <w:rPr>
          <w:sz w:val="24"/>
          <w:szCs w:val="24"/>
        </w:rPr>
        <w:t xml:space="preserve">Lord Nicholls made a subsequent </w:t>
      </w:r>
      <w:r w:rsidR="005F0941">
        <w:rPr>
          <w:sz w:val="24"/>
          <w:szCs w:val="24"/>
        </w:rPr>
        <w:t xml:space="preserve">passing </w:t>
      </w:r>
      <w:r>
        <w:rPr>
          <w:sz w:val="24"/>
          <w:szCs w:val="24"/>
        </w:rPr>
        <w:t xml:space="preserve">observation </w:t>
      </w:r>
      <w:r w:rsidR="009D40AB">
        <w:rPr>
          <w:sz w:val="24"/>
          <w:szCs w:val="24"/>
        </w:rPr>
        <w:t xml:space="preserve">at [79] </w:t>
      </w:r>
      <w:r>
        <w:rPr>
          <w:sz w:val="24"/>
          <w:szCs w:val="24"/>
        </w:rPr>
        <w:t xml:space="preserve">that motivation may be evidence from which lack of genuine </w:t>
      </w:r>
      <w:r w:rsidR="004F7122">
        <w:rPr>
          <w:sz w:val="24"/>
          <w:szCs w:val="24"/>
        </w:rPr>
        <w:t xml:space="preserve">belief </w:t>
      </w:r>
      <w:r>
        <w:rPr>
          <w:sz w:val="24"/>
          <w:szCs w:val="24"/>
        </w:rPr>
        <w:t>can be inferred</w:t>
      </w:r>
      <w:r w:rsidR="005F0941">
        <w:rPr>
          <w:sz w:val="24"/>
          <w:szCs w:val="24"/>
        </w:rPr>
        <w:t xml:space="preserve">. </w:t>
      </w:r>
      <w:r>
        <w:rPr>
          <w:sz w:val="24"/>
          <w:szCs w:val="24"/>
        </w:rPr>
        <w:t xml:space="preserve"> </w:t>
      </w:r>
      <w:r w:rsidR="005F0941">
        <w:rPr>
          <w:sz w:val="24"/>
          <w:szCs w:val="24"/>
        </w:rPr>
        <w:t>Th</w:t>
      </w:r>
      <w:r w:rsidR="00D53A1C">
        <w:rPr>
          <w:sz w:val="24"/>
          <w:szCs w:val="24"/>
        </w:rPr>
        <w:t xml:space="preserve">is </w:t>
      </w:r>
      <w:r w:rsidR="005F0941">
        <w:rPr>
          <w:sz w:val="24"/>
          <w:szCs w:val="24"/>
        </w:rPr>
        <w:t xml:space="preserve">could not </w:t>
      </w:r>
      <w:r w:rsidR="00D53A1C">
        <w:rPr>
          <w:sz w:val="24"/>
          <w:szCs w:val="24"/>
        </w:rPr>
        <w:t xml:space="preserve">have been intended to </w:t>
      </w:r>
      <w:r w:rsidR="005F0941">
        <w:rPr>
          <w:sz w:val="24"/>
          <w:szCs w:val="24"/>
        </w:rPr>
        <w:t xml:space="preserve">apply to a routine political motivation of the type </w:t>
      </w:r>
      <w:r w:rsidR="00450E83">
        <w:rPr>
          <w:sz w:val="24"/>
          <w:szCs w:val="24"/>
        </w:rPr>
        <w:t xml:space="preserve">alleged </w:t>
      </w:r>
      <w:r w:rsidR="005F0941">
        <w:rPr>
          <w:sz w:val="24"/>
          <w:szCs w:val="24"/>
        </w:rPr>
        <w:t xml:space="preserve">in the present case.  Otherwise, it would destroy the benefit intended to be conferred by removing improper motive as a form of malice. </w:t>
      </w:r>
    </w:p>
    <w:p w14:paraId="16CC9D17" w14:textId="0269B1D9" w:rsidR="005F0941" w:rsidRPr="00E34517" w:rsidRDefault="00732006" w:rsidP="006203FB">
      <w:pPr>
        <w:pStyle w:val="ListParagraph"/>
        <w:numPr>
          <w:ilvl w:val="0"/>
          <w:numId w:val="1"/>
        </w:numPr>
        <w:spacing w:before="240" w:after="240" w:line="360" w:lineRule="auto"/>
        <w:contextualSpacing w:val="0"/>
        <w:rPr>
          <w:sz w:val="24"/>
          <w:szCs w:val="24"/>
        </w:rPr>
      </w:pPr>
      <w:r>
        <w:rPr>
          <w:sz w:val="24"/>
          <w:szCs w:val="24"/>
        </w:rPr>
        <w:t xml:space="preserve">A person </w:t>
      </w:r>
      <w:r w:rsidR="00E34517" w:rsidRPr="00E34517">
        <w:rPr>
          <w:sz w:val="24"/>
          <w:szCs w:val="24"/>
        </w:rPr>
        <w:t xml:space="preserve">is inherently more likely to form a negative view of the statements or actions of a political opponent. </w:t>
      </w:r>
      <w:r w:rsidR="00E34517">
        <w:rPr>
          <w:sz w:val="24"/>
          <w:szCs w:val="24"/>
        </w:rPr>
        <w:t xml:space="preserve"> </w:t>
      </w:r>
      <w:r w:rsidR="00513766">
        <w:rPr>
          <w:sz w:val="24"/>
          <w:szCs w:val="24"/>
        </w:rPr>
        <w:t xml:space="preserve">Political motive is therefore generally not probative of a lack of honest belief.  </w:t>
      </w:r>
      <w:r w:rsidR="005F0941" w:rsidRPr="00E34517">
        <w:rPr>
          <w:sz w:val="24"/>
          <w:szCs w:val="24"/>
        </w:rPr>
        <w:t xml:space="preserve">As Lord Diplock famously noted in </w:t>
      </w:r>
      <w:r w:rsidR="005F0941" w:rsidRPr="00E34517">
        <w:rPr>
          <w:i/>
          <w:iCs/>
          <w:sz w:val="24"/>
          <w:szCs w:val="24"/>
        </w:rPr>
        <w:t>Horrocks v Lowe</w:t>
      </w:r>
      <w:r w:rsidR="005F0941" w:rsidRPr="00E34517">
        <w:rPr>
          <w:sz w:val="24"/>
          <w:szCs w:val="24"/>
        </w:rPr>
        <w:t xml:space="preserve"> [1975] AC 135 at </w:t>
      </w:r>
      <w:r w:rsidR="009D40AB">
        <w:rPr>
          <w:sz w:val="24"/>
          <w:szCs w:val="24"/>
        </w:rPr>
        <w:t>151A</w:t>
      </w:r>
      <w:r>
        <w:rPr>
          <w:sz w:val="24"/>
          <w:szCs w:val="24"/>
        </w:rPr>
        <w:t xml:space="preserve">, </w:t>
      </w:r>
      <w:r w:rsidR="00322F60">
        <w:rPr>
          <w:sz w:val="24"/>
          <w:szCs w:val="24"/>
        </w:rPr>
        <w:t xml:space="preserve">a case </w:t>
      </w:r>
      <w:r>
        <w:rPr>
          <w:sz w:val="24"/>
          <w:szCs w:val="24"/>
        </w:rPr>
        <w:t>involving rival politicians,</w:t>
      </w:r>
      <w:r w:rsidR="005F0941" w:rsidRPr="00E34517">
        <w:rPr>
          <w:sz w:val="24"/>
          <w:szCs w:val="24"/>
        </w:rPr>
        <w:t xml:space="preserve"> it </w:t>
      </w:r>
      <w:r w:rsidR="004F7122">
        <w:rPr>
          <w:sz w:val="24"/>
          <w:szCs w:val="24"/>
        </w:rPr>
        <w:t xml:space="preserve">is </w:t>
      </w:r>
      <w:r w:rsidR="005F0941" w:rsidRPr="00E34517">
        <w:rPr>
          <w:sz w:val="24"/>
          <w:szCs w:val="24"/>
        </w:rPr>
        <w:t xml:space="preserve">difficult to hate the sin but love the sinner.  </w:t>
      </w:r>
      <w:r w:rsidR="00F26252">
        <w:rPr>
          <w:sz w:val="24"/>
          <w:szCs w:val="24"/>
        </w:rPr>
        <w:t xml:space="preserve">Dishonesty </w:t>
      </w:r>
      <w:r w:rsidR="003956A9">
        <w:rPr>
          <w:sz w:val="24"/>
          <w:szCs w:val="24"/>
        </w:rPr>
        <w:t xml:space="preserve">pleas have </w:t>
      </w:r>
      <w:r w:rsidR="00F26252">
        <w:rPr>
          <w:sz w:val="24"/>
          <w:szCs w:val="24"/>
        </w:rPr>
        <w:t xml:space="preserve">regularly determined on a summary basis </w:t>
      </w:r>
      <w:r w:rsidR="003956A9">
        <w:rPr>
          <w:sz w:val="24"/>
          <w:szCs w:val="24"/>
        </w:rPr>
        <w:t>where the parties are political opponents and there is political advantage in making the defamatory allegation.</w:t>
      </w:r>
      <w:r w:rsidR="007674F7">
        <w:rPr>
          <w:rStyle w:val="FootnoteReference"/>
          <w:sz w:val="24"/>
          <w:szCs w:val="24"/>
        </w:rPr>
        <w:footnoteReference w:id="37"/>
      </w:r>
      <w:r w:rsidR="003956A9">
        <w:rPr>
          <w:sz w:val="24"/>
          <w:szCs w:val="24"/>
        </w:rPr>
        <w:t xml:space="preserve"> </w:t>
      </w:r>
    </w:p>
    <w:p w14:paraId="7D719128" w14:textId="77777777" w:rsidR="00513766" w:rsidRDefault="005F0941" w:rsidP="00ED5981">
      <w:pPr>
        <w:pStyle w:val="ListParagraph"/>
        <w:numPr>
          <w:ilvl w:val="0"/>
          <w:numId w:val="1"/>
        </w:numPr>
        <w:spacing w:before="240" w:after="240" w:line="360" w:lineRule="auto"/>
        <w:contextualSpacing w:val="0"/>
        <w:rPr>
          <w:sz w:val="24"/>
          <w:szCs w:val="24"/>
        </w:rPr>
      </w:pPr>
      <w:r>
        <w:rPr>
          <w:sz w:val="24"/>
          <w:szCs w:val="24"/>
        </w:rPr>
        <w:t xml:space="preserve">In the present case, the </w:t>
      </w:r>
      <w:r w:rsidR="00513766">
        <w:rPr>
          <w:sz w:val="24"/>
          <w:szCs w:val="24"/>
        </w:rPr>
        <w:t xml:space="preserve">alleged </w:t>
      </w:r>
      <w:r>
        <w:rPr>
          <w:sz w:val="24"/>
          <w:szCs w:val="24"/>
        </w:rPr>
        <w:t xml:space="preserve">political motive </w:t>
      </w:r>
      <w:r w:rsidR="00D53A1C">
        <w:rPr>
          <w:sz w:val="24"/>
          <w:szCs w:val="24"/>
        </w:rPr>
        <w:t xml:space="preserve">is tied to C’s case on the interpretation of the Interview.  It is </w:t>
      </w:r>
      <w:r>
        <w:rPr>
          <w:sz w:val="24"/>
          <w:szCs w:val="24"/>
        </w:rPr>
        <w:t xml:space="preserve">relied </w:t>
      </w:r>
      <w:r w:rsidR="00D53A1C">
        <w:rPr>
          <w:sz w:val="24"/>
          <w:szCs w:val="24"/>
        </w:rPr>
        <w:t xml:space="preserve">on </w:t>
      </w:r>
      <w:r>
        <w:rPr>
          <w:sz w:val="24"/>
          <w:szCs w:val="24"/>
        </w:rPr>
        <w:t>as “</w:t>
      </w:r>
      <w:r w:rsidRPr="006D70DF">
        <w:rPr>
          <w:i/>
          <w:iCs/>
          <w:sz w:val="24"/>
          <w:szCs w:val="24"/>
        </w:rPr>
        <w:t>help[ing] to explain why [D] chose to ignore the obvious disparity</w:t>
      </w:r>
      <w:r w:rsidR="00D53A1C" w:rsidRPr="006D70DF">
        <w:rPr>
          <w:i/>
          <w:iCs/>
          <w:sz w:val="24"/>
          <w:szCs w:val="24"/>
        </w:rPr>
        <w:t xml:space="preserve"> between what the D knew that the C had said during the interview and what the D stated that he said during the programme.</w:t>
      </w:r>
      <w:r>
        <w:rPr>
          <w:sz w:val="24"/>
          <w:szCs w:val="24"/>
        </w:rPr>
        <w:t>”</w:t>
      </w:r>
      <w:r>
        <w:rPr>
          <w:rStyle w:val="FootnoteReference"/>
          <w:sz w:val="24"/>
          <w:szCs w:val="24"/>
        </w:rPr>
        <w:footnoteReference w:id="38"/>
      </w:r>
      <w:r>
        <w:rPr>
          <w:sz w:val="24"/>
          <w:szCs w:val="24"/>
        </w:rPr>
        <w:t xml:space="preserve"> </w:t>
      </w:r>
      <w:r w:rsidR="00D53A1C">
        <w:rPr>
          <w:sz w:val="24"/>
          <w:szCs w:val="24"/>
        </w:rPr>
        <w:t xml:space="preserve"> </w:t>
      </w:r>
      <w:r w:rsidR="00513766">
        <w:rPr>
          <w:sz w:val="24"/>
          <w:szCs w:val="24"/>
        </w:rPr>
        <w:t xml:space="preserve">This begs the question of whether there was any disparity, let alone an obvious one. </w:t>
      </w:r>
    </w:p>
    <w:p w14:paraId="0172EF13" w14:textId="0B3E8BFC" w:rsidR="005F0941" w:rsidRDefault="00513766" w:rsidP="00ED5981">
      <w:pPr>
        <w:pStyle w:val="ListParagraph"/>
        <w:numPr>
          <w:ilvl w:val="0"/>
          <w:numId w:val="1"/>
        </w:numPr>
        <w:spacing w:before="240" w:after="240" w:line="360" w:lineRule="auto"/>
        <w:contextualSpacing w:val="0"/>
        <w:rPr>
          <w:sz w:val="24"/>
          <w:szCs w:val="24"/>
        </w:rPr>
      </w:pPr>
      <w:r>
        <w:rPr>
          <w:sz w:val="24"/>
          <w:szCs w:val="24"/>
        </w:rPr>
        <w:t>More fundamentally, i</w:t>
      </w:r>
      <w:r w:rsidR="00D53A1C">
        <w:rPr>
          <w:sz w:val="24"/>
          <w:szCs w:val="24"/>
        </w:rPr>
        <w:t xml:space="preserve">f the Interview itself is not probative of D not believing the Opinion, the political motivation </w:t>
      </w:r>
      <w:r w:rsidR="006D70DF">
        <w:rPr>
          <w:sz w:val="24"/>
          <w:szCs w:val="24"/>
        </w:rPr>
        <w:t>does not make it so</w:t>
      </w:r>
      <w:r w:rsidR="00D53A1C">
        <w:rPr>
          <w:sz w:val="24"/>
          <w:szCs w:val="24"/>
        </w:rPr>
        <w:t xml:space="preserve">. </w:t>
      </w:r>
      <w:r w:rsidR="00E34517">
        <w:rPr>
          <w:sz w:val="24"/>
          <w:szCs w:val="24"/>
        </w:rPr>
        <w:t xml:space="preserve"> Or putting it the other way round, the fact C and D have politically </w:t>
      </w:r>
      <w:r w:rsidR="00620D1C">
        <w:rPr>
          <w:sz w:val="24"/>
          <w:szCs w:val="24"/>
        </w:rPr>
        <w:t>opposed</w:t>
      </w:r>
      <w:r w:rsidR="00E34517">
        <w:rPr>
          <w:sz w:val="24"/>
          <w:szCs w:val="24"/>
        </w:rPr>
        <w:t xml:space="preserve"> views and/or D </w:t>
      </w:r>
      <w:r w:rsidR="00322F60">
        <w:rPr>
          <w:sz w:val="24"/>
          <w:szCs w:val="24"/>
        </w:rPr>
        <w:t xml:space="preserve">may be said to have </w:t>
      </w:r>
      <w:r w:rsidR="00E34517">
        <w:rPr>
          <w:sz w:val="24"/>
          <w:szCs w:val="24"/>
        </w:rPr>
        <w:t xml:space="preserve">a political interest in criticising Labour donors does not make it more probable that D would have interpreted the Interview in the manner contended for by </w:t>
      </w:r>
      <w:r w:rsidR="006D70DF">
        <w:rPr>
          <w:sz w:val="24"/>
          <w:szCs w:val="24"/>
        </w:rPr>
        <w:t>C</w:t>
      </w:r>
      <w:r w:rsidR="00E34517">
        <w:rPr>
          <w:sz w:val="24"/>
          <w:szCs w:val="24"/>
        </w:rPr>
        <w:t xml:space="preserve">. </w:t>
      </w:r>
    </w:p>
    <w:p w14:paraId="6AFA3A77" w14:textId="5942F05F" w:rsidR="00DF3943" w:rsidRDefault="00DF3943" w:rsidP="00ED5981">
      <w:pPr>
        <w:pStyle w:val="ListParagraph"/>
        <w:numPr>
          <w:ilvl w:val="0"/>
          <w:numId w:val="1"/>
        </w:numPr>
        <w:spacing w:before="240" w:after="240" w:line="360" w:lineRule="auto"/>
        <w:contextualSpacing w:val="0"/>
        <w:rPr>
          <w:sz w:val="24"/>
          <w:szCs w:val="24"/>
        </w:rPr>
      </w:pPr>
      <w:r>
        <w:rPr>
          <w:sz w:val="24"/>
          <w:szCs w:val="24"/>
        </w:rPr>
        <w:t xml:space="preserve">As to Coad Law’s pro bono correspondence on behalf of D, it is certainly robust.  </w:t>
      </w:r>
      <w:r w:rsidR="00043D55">
        <w:rPr>
          <w:sz w:val="24"/>
          <w:szCs w:val="24"/>
        </w:rPr>
        <w:t xml:space="preserve">It is recognised that </w:t>
      </w:r>
      <w:r>
        <w:rPr>
          <w:sz w:val="24"/>
          <w:szCs w:val="24"/>
        </w:rPr>
        <w:t xml:space="preserve">a robust </w:t>
      </w:r>
      <w:r w:rsidR="00043D55">
        <w:rPr>
          <w:sz w:val="24"/>
          <w:szCs w:val="24"/>
        </w:rPr>
        <w:t xml:space="preserve">defence </w:t>
      </w:r>
      <w:r>
        <w:rPr>
          <w:sz w:val="24"/>
          <w:szCs w:val="24"/>
        </w:rPr>
        <w:t>is, at least, equally consistent with an honest belief at the time of publication.</w:t>
      </w:r>
      <w:r w:rsidR="00043D55">
        <w:rPr>
          <w:rStyle w:val="FootnoteReference"/>
          <w:sz w:val="24"/>
          <w:szCs w:val="24"/>
        </w:rPr>
        <w:footnoteReference w:id="39"/>
      </w:r>
      <w:r w:rsidR="00043D55">
        <w:rPr>
          <w:sz w:val="24"/>
          <w:szCs w:val="24"/>
        </w:rPr>
        <w:t xml:space="preserve">  </w:t>
      </w:r>
      <w:r>
        <w:rPr>
          <w:sz w:val="24"/>
          <w:szCs w:val="24"/>
        </w:rPr>
        <w:t>Further, the court will be aware that the content and tone of solicitor correspondence is generally accounted for by the style of the solicitor</w:t>
      </w:r>
      <w:r w:rsidR="004F7122">
        <w:rPr>
          <w:sz w:val="24"/>
          <w:szCs w:val="24"/>
        </w:rPr>
        <w:t>, rather than the attitude of the client</w:t>
      </w:r>
      <w:r>
        <w:rPr>
          <w:sz w:val="24"/>
          <w:szCs w:val="24"/>
        </w:rPr>
        <w:t>. There is proof positive in the present case</w:t>
      </w:r>
      <w:r w:rsidR="00E34517">
        <w:rPr>
          <w:sz w:val="24"/>
          <w:szCs w:val="24"/>
        </w:rPr>
        <w:t xml:space="preserve">. </w:t>
      </w:r>
      <w:r>
        <w:rPr>
          <w:sz w:val="24"/>
          <w:szCs w:val="24"/>
        </w:rPr>
        <w:t>D’s response of 1/5/24</w:t>
      </w:r>
      <w:r w:rsidR="009D40AB">
        <w:rPr>
          <w:rStyle w:val="FootnoteReference"/>
          <w:sz w:val="24"/>
          <w:szCs w:val="24"/>
        </w:rPr>
        <w:footnoteReference w:id="40"/>
      </w:r>
      <w:r>
        <w:rPr>
          <w:sz w:val="24"/>
          <w:szCs w:val="24"/>
        </w:rPr>
        <w:t xml:space="preserve"> to the letter of claim, prior to Coad Law’s involvement, was reasonable, measured and </w:t>
      </w:r>
      <w:r w:rsidR="00E34517">
        <w:rPr>
          <w:sz w:val="24"/>
          <w:szCs w:val="24"/>
        </w:rPr>
        <w:t>prescient. I</w:t>
      </w:r>
      <w:r>
        <w:rPr>
          <w:sz w:val="24"/>
          <w:szCs w:val="24"/>
        </w:rPr>
        <w:t xml:space="preserve">t is broadly consistent with the Judge’s determinations. </w:t>
      </w:r>
    </w:p>
    <w:p w14:paraId="072F1590" w14:textId="530FAB5B" w:rsidR="00C55DB1" w:rsidRDefault="00C55DB1" w:rsidP="00ED5981">
      <w:pPr>
        <w:pStyle w:val="ListParagraph"/>
        <w:numPr>
          <w:ilvl w:val="0"/>
          <w:numId w:val="1"/>
        </w:numPr>
        <w:spacing w:before="240" w:after="240" w:line="360" w:lineRule="auto"/>
        <w:contextualSpacing w:val="0"/>
        <w:rPr>
          <w:sz w:val="24"/>
          <w:szCs w:val="24"/>
        </w:rPr>
      </w:pPr>
      <w:r>
        <w:rPr>
          <w:sz w:val="24"/>
          <w:szCs w:val="24"/>
        </w:rPr>
        <w:t>Coad Law’s 16/5 letter contain</w:t>
      </w:r>
      <w:r w:rsidR="009D40AB">
        <w:rPr>
          <w:sz w:val="24"/>
          <w:szCs w:val="24"/>
        </w:rPr>
        <w:t>s</w:t>
      </w:r>
      <w:r>
        <w:rPr>
          <w:sz w:val="24"/>
          <w:szCs w:val="24"/>
        </w:rPr>
        <w:t xml:space="preserve"> the threat to put the </w:t>
      </w:r>
      <w:r w:rsidR="00513766">
        <w:rPr>
          <w:sz w:val="24"/>
          <w:szCs w:val="24"/>
        </w:rPr>
        <w:t xml:space="preserve">parties’ </w:t>
      </w:r>
      <w:r>
        <w:rPr>
          <w:sz w:val="24"/>
          <w:szCs w:val="24"/>
        </w:rPr>
        <w:t xml:space="preserve">correspondence in the public domain.  This was linked to the allegation in the letter that the claim is a SLAPP.  The SLAPP allegation was repeated in the CrowdJustice </w:t>
      </w:r>
      <w:r w:rsidR="00E47E78">
        <w:rPr>
          <w:sz w:val="24"/>
          <w:szCs w:val="24"/>
        </w:rPr>
        <w:t>p</w:t>
      </w:r>
      <w:r w:rsidR="009D40AB">
        <w:rPr>
          <w:sz w:val="24"/>
          <w:szCs w:val="24"/>
        </w:rPr>
        <w:t xml:space="preserve">ublication </w:t>
      </w:r>
      <w:r>
        <w:rPr>
          <w:sz w:val="24"/>
          <w:szCs w:val="24"/>
        </w:rPr>
        <w:t xml:space="preserve">and C declined the opportunity to complain of it.  There is no suggestion that D does not believe that the claim has the hallmarks of a SLAPP.  </w:t>
      </w:r>
    </w:p>
    <w:p w14:paraId="304D2204" w14:textId="58CC81E5" w:rsidR="00C55DB1" w:rsidRDefault="00C55DB1" w:rsidP="00ED5981">
      <w:pPr>
        <w:pStyle w:val="ListParagraph"/>
        <w:numPr>
          <w:ilvl w:val="0"/>
          <w:numId w:val="1"/>
        </w:numPr>
        <w:spacing w:before="240" w:after="240" w:line="360" w:lineRule="auto"/>
        <w:contextualSpacing w:val="0"/>
        <w:rPr>
          <w:sz w:val="24"/>
          <w:szCs w:val="24"/>
        </w:rPr>
      </w:pPr>
      <w:r>
        <w:rPr>
          <w:sz w:val="24"/>
          <w:szCs w:val="24"/>
        </w:rPr>
        <w:t xml:space="preserve">It would be illogical for </w:t>
      </w:r>
      <w:r w:rsidR="006D70DF">
        <w:rPr>
          <w:sz w:val="24"/>
          <w:szCs w:val="24"/>
        </w:rPr>
        <w:t xml:space="preserve">post-publication </w:t>
      </w:r>
      <w:r w:rsidR="00776462">
        <w:rPr>
          <w:sz w:val="24"/>
          <w:szCs w:val="24"/>
        </w:rPr>
        <w:t xml:space="preserve">statements or </w:t>
      </w:r>
      <w:r w:rsidR="006D70DF">
        <w:rPr>
          <w:sz w:val="24"/>
          <w:szCs w:val="24"/>
        </w:rPr>
        <w:t xml:space="preserve">acts carried out by or on behalf of a defendant in the honest </w:t>
      </w:r>
      <w:r>
        <w:rPr>
          <w:sz w:val="24"/>
          <w:szCs w:val="24"/>
        </w:rPr>
        <w:t xml:space="preserve">belief that the claim is a SLAPP </w:t>
      </w:r>
      <w:r w:rsidR="006D70DF">
        <w:rPr>
          <w:sz w:val="24"/>
          <w:szCs w:val="24"/>
        </w:rPr>
        <w:t xml:space="preserve">to be </w:t>
      </w:r>
      <w:r w:rsidR="00513766">
        <w:rPr>
          <w:sz w:val="24"/>
          <w:szCs w:val="24"/>
        </w:rPr>
        <w:t xml:space="preserve">regarded as </w:t>
      </w:r>
      <w:r>
        <w:rPr>
          <w:sz w:val="24"/>
          <w:szCs w:val="24"/>
        </w:rPr>
        <w:t xml:space="preserve">evidence </w:t>
      </w:r>
      <w:r w:rsidR="006D70DF">
        <w:rPr>
          <w:sz w:val="24"/>
          <w:szCs w:val="24"/>
        </w:rPr>
        <w:t xml:space="preserve">of </w:t>
      </w:r>
      <w:r w:rsidR="00776462">
        <w:rPr>
          <w:sz w:val="24"/>
          <w:szCs w:val="24"/>
        </w:rPr>
        <w:t xml:space="preserve">the </w:t>
      </w:r>
      <w:r>
        <w:rPr>
          <w:sz w:val="24"/>
          <w:szCs w:val="24"/>
        </w:rPr>
        <w:t xml:space="preserve">absence of </w:t>
      </w:r>
      <w:r w:rsidR="006D70DF">
        <w:rPr>
          <w:sz w:val="24"/>
          <w:szCs w:val="24"/>
        </w:rPr>
        <w:t xml:space="preserve">an honest </w:t>
      </w:r>
      <w:r>
        <w:rPr>
          <w:sz w:val="24"/>
          <w:szCs w:val="24"/>
        </w:rPr>
        <w:t xml:space="preserve">belief in the </w:t>
      </w:r>
      <w:r w:rsidR="00E47E78">
        <w:rPr>
          <w:sz w:val="24"/>
          <w:szCs w:val="24"/>
        </w:rPr>
        <w:t xml:space="preserve">expression of </w:t>
      </w:r>
      <w:r w:rsidR="0014018A">
        <w:rPr>
          <w:sz w:val="24"/>
          <w:szCs w:val="24"/>
        </w:rPr>
        <w:t xml:space="preserve">opinion </w:t>
      </w:r>
      <w:r>
        <w:rPr>
          <w:sz w:val="24"/>
          <w:szCs w:val="24"/>
        </w:rPr>
        <w:t xml:space="preserve">that led </w:t>
      </w:r>
      <w:r w:rsidR="00513766">
        <w:rPr>
          <w:sz w:val="24"/>
          <w:szCs w:val="24"/>
        </w:rPr>
        <w:t xml:space="preserve">to </w:t>
      </w:r>
      <w:r>
        <w:rPr>
          <w:sz w:val="24"/>
          <w:szCs w:val="24"/>
        </w:rPr>
        <w:t xml:space="preserve">the defendant being </w:t>
      </w:r>
      <w:r w:rsidR="006D70DF">
        <w:rPr>
          <w:sz w:val="24"/>
          <w:szCs w:val="24"/>
        </w:rPr>
        <w:t>sued.</w:t>
      </w:r>
      <w:r>
        <w:rPr>
          <w:sz w:val="24"/>
          <w:szCs w:val="24"/>
        </w:rPr>
        <w:t xml:space="preserve"> If th</w:t>
      </w:r>
      <w:r w:rsidR="006D70DF">
        <w:rPr>
          <w:sz w:val="24"/>
          <w:szCs w:val="24"/>
        </w:rPr>
        <w:t>e defendant was subsequently held to have established the objective elements of the s.3 defence</w:t>
      </w:r>
      <w:r w:rsidR="00513766">
        <w:rPr>
          <w:sz w:val="24"/>
          <w:szCs w:val="24"/>
        </w:rPr>
        <w:t xml:space="preserve"> in relation to the opinion</w:t>
      </w:r>
      <w:r w:rsidR="006D70DF">
        <w:rPr>
          <w:sz w:val="24"/>
          <w:szCs w:val="24"/>
        </w:rPr>
        <w:t xml:space="preserve">, it would add farce to illogicality for the defendant to be kept in the claim because of the post-publication conduct. </w:t>
      </w:r>
    </w:p>
    <w:p w14:paraId="4B407FE2" w14:textId="69049CAF" w:rsidR="00BF23B7" w:rsidRPr="00735930" w:rsidRDefault="00976172" w:rsidP="00BF23B7">
      <w:pPr>
        <w:spacing w:before="240" w:after="240" w:line="360" w:lineRule="auto"/>
        <w:rPr>
          <w:b/>
          <w:bCs/>
          <w:sz w:val="24"/>
          <w:szCs w:val="24"/>
        </w:rPr>
      </w:pPr>
      <w:r>
        <w:rPr>
          <w:b/>
          <w:bCs/>
          <w:sz w:val="24"/>
          <w:szCs w:val="24"/>
        </w:rPr>
        <w:t xml:space="preserve">GOA [5] - </w:t>
      </w:r>
      <w:r w:rsidR="00BF23B7">
        <w:rPr>
          <w:b/>
          <w:bCs/>
          <w:sz w:val="24"/>
          <w:szCs w:val="24"/>
        </w:rPr>
        <w:t>Further Preliminary Trial on s.3(5)</w:t>
      </w:r>
      <w:r>
        <w:rPr>
          <w:b/>
          <w:bCs/>
          <w:sz w:val="24"/>
          <w:szCs w:val="24"/>
        </w:rPr>
        <w:t xml:space="preserve"> </w:t>
      </w:r>
    </w:p>
    <w:p w14:paraId="436E1BA1" w14:textId="0822CD47" w:rsidR="007A5E48" w:rsidRDefault="007A5E48" w:rsidP="00ED5981">
      <w:pPr>
        <w:pStyle w:val="ListParagraph"/>
        <w:numPr>
          <w:ilvl w:val="0"/>
          <w:numId w:val="1"/>
        </w:numPr>
        <w:spacing w:before="240" w:after="240" w:line="360" w:lineRule="auto"/>
        <w:contextualSpacing w:val="0"/>
        <w:rPr>
          <w:sz w:val="24"/>
          <w:szCs w:val="24"/>
        </w:rPr>
      </w:pPr>
      <w:r>
        <w:rPr>
          <w:sz w:val="24"/>
          <w:szCs w:val="24"/>
        </w:rPr>
        <w:t xml:space="preserve">GOA[5] </w:t>
      </w:r>
      <w:r w:rsidR="007357EE">
        <w:rPr>
          <w:sz w:val="24"/>
          <w:szCs w:val="24"/>
        </w:rPr>
        <w:t xml:space="preserve">is a discrete ground </w:t>
      </w:r>
      <w:r w:rsidR="00C81326">
        <w:rPr>
          <w:sz w:val="24"/>
          <w:szCs w:val="24"/>
        </w:rPr>
        <w:t>premised on the judge having correctly decided the substantive liability issues on s.2, s.3(4) and s.3(5). It</w:t>
      </w:r>
      <w:r>
        <w:rPr>
          <w:sz w:val="24"/>
          <w:szCs w:val="24"/>
        </w:rPr>
        <w:t xml:space="preserve">s potential irrelevance will </w:t>
      </w:r>
      <w:r w:rsidR="00C81326">
        <w:rPr>
          <w:sz w:val="24"/>
          <w:szCs w:val="24"/>
        </w:rPr>
        <w:t xml:space="preserve">only </w:t>
      </w:r>
      <w:r>
        <w:rPr>
          <w:sz w:val="24"/>
          <w:szCs w:val="24"/>
        </w:rPr>
        <w:t xml:space="preserve">arise if </w:t>
      </w:r>
      <w:r w:rsidR="00C81326">
        <w:rPr>
          <w:sz w:val="24"/>
          <w:szCs w:val="24"/>
        </w:rPr>
        <w:t xml:space="preserve">the proposed appeals on </w:t>
      </w:r>
      <w:r>
        <w:rPr>
          <w:sz w:val="24"/>
          <w:szCs w:val="24"/>
        </w:rPr>
        <w:t xml:space="preserve">any of </w:t>
      </w:r>
      <w:r w:rsidR="00C81326">
        <w:rPr>
          <w:sz w:val="24"/>
          <w:szCs w:val="24"/>
        </w:rPr>
        <w:t xml:space="preserve">these issues </w:t>
      </w:r>
      <w:r>
        <w:rPr>
          <w:sz w:val="24"/>
          <w:szCs w:val="24"/>
        </w:rPr>
        <w:t xml:space="preserve">ultimately </w:t>
      </w:r>
      <w:r w:rsidR="00C81326">
        <w:rPr>
          <w:sz w:val="24"/>
          <w:szCs w:val="24"/>
        </w:rPr>
        <w:t xml:space="preserve">succeed.  </w:t>
      </w:r>
      <w:r>
        <w:rPr>
          <w:sz w:val="24"/>
          <w:szCs w:val="24"/>
        </w:rPr>
        <w:t xml:space="preserve">The PTA application on </w:t>
      </w:r>
      <w:r w:rsidR="00C81326">
        <w:rPr>
          <w:sz w:val="24"/>
          <w:szCs w:val="24"/>
        </w:rPr>
        <w:t xml:space="preserve">GOA[5] </w:t>
      </w:r>
      <w:r>
        <w:rPr>
          <w:sz w:val="24"/>
          <w:szCs w:val="24"/>
        </w:rPr>
        <w:t xml:space="preserve">should therefore be determined on its merits without consideration of the likely final outcome </w:t>
      </w:r>
      <w:r w:rsidR="00CB0DA5">
        <w:rPr>
          <w:sz w:val="24"/>
          <w:szCs w:val="24"/>
        </w:rPr>
        <w:t xml:space="preserve">of the other proposed appeals. </w:t>
      </w:r>
      <w:r>
        <w:rPr>
          <w:sz w:val="24"/>
          <w:szCs w:val="24"/>
        </w:rPr>
        <w:t xml:space="preserve">In addition, GOA[5] raises issues of wider importance in relation to case management in the Media and Communications List (“MACL”). </w:t>
      </w:r>
    </w:p>
    <w:p w14:paraId="01AEDA20" w14:textId="0A7F67FD" w:rsidR="00116F2A" w:rsidRDefault="00B56764" w:rsidP="00ED5981">
      <w:pPr>
        <w:pStyle w:val="ListParagraph"/>
        <w:numPr>
          <w:ilvl w:val="0"/>
          <w:numId w:val="1"/>
        </w:numPr>
        <w:spacing w:before="240" w:after="240" w:line="360" w:lineRule="auto"/>
        <w:contextualSpacing w:val="0"/>
        <w:rPr>
          <w:sz w:val="24"/>
          <w:szCs w:val="24"/>
        </w:rPr>
      </w:pPr>
      <w:r>
        <w:rPr>
          <w:sz w:val="24"/>
          <w:szCs w:val="24"/>
        </w:rPr>
        <w:t xml:space="preserve">The observations of Warby LJ in </w:t>
      </w:r>
      <w:r w:rsidRPr="00DF63F6">
        <w:rPr>
          <w:i/>
          <w:iCs/>
          <w:sz w:val="24"/>
          <w:szCs w:val="24"/>
        </w:rPr>
        <w:t>Iqbal v Geo TV Ltd</w:t>
      </w:r>
      <w:r>
        <w:rPr>
          <w:i/>
          <w:iCs/>
          <w:sz w:val="24"/>
          <w:szCs w:val="24"/>
        </w:rPr>
        <w:t xml:space="preserve"> </w:t>
      </w:r>
      <w:r>
        <w:rPr>
          <w:sz w:val="24"/>
          <w:szCs w:val="24"/>
        </w:rPr>
        <w:t xml:space="preserve">as to the special value of early determination in defamation claims are equally applicable where a defendant has succeeded on s.3(2)-(4) prior to service of a defence, but the claimant has a viable s.3(5) case. The </w:t>
      </w:r>
      <w:r w:rsidR="007A5E48">
        <w:rPr>
          <w:sz w:val="24"/>
          <w:szCs w:val="24"/>
        </w:rPr>
        <w:t xml:space="preserve">MACL was established in 2017 </w:t>
      </w:r>
      <w:r w:rsidR="00C11D6E">
        <w:rPr>
          <w:sz w:val="24"/>
          <w:szCs w:val="24"/>
        </w:rPr>
        <w:t xml:space="preserve">at the instigation of </w:t>
      </w:r>
      <w:r>
        <w:rPr>
          <w:sz w:val="24"/>
          <w:szCs w:val="24"/>
        </w:rPr>
        <w:t xml:space="preserve">Warby J (as he </w:t>
      </w:r>
      <w:r w:rsidR="00322F60">
        <w:rPr>
          <w:sz w:val="24"/>
          <w:szCs w:val="24"/>
        </w:rPr>
        <w:t xml:space="preserve">then </w:t>
      </w:r>
      <w:r>
        <w:rPr>
          <w:sz w:val="24"/>
          <w:szCs w:val="24"/>
        </w:rPr>
        <w:t>was)</w:t>
      </w:r>
      <w:r w:rsidR="007A5E48">
        <w:rPr>
          <w:sz w:val="24"/>
          <w:szCs w:val="24"/>
        </w:rPr>
        <w:t xml:space="preserve">. </w:t>
      </w:r>
      <w:r w:rsidR="00732006">
        <w:rPr>
          <w:sz w:val="24"/>
          <w:szCs w:val="24"/>
        </w:rPr>
        <w:t xml:space="preserve">One of its </w:t>
      </w:r>
      <w:r w:rsidR="007A5E48">
        <w:rPr>
          <w:sz w:val="24"/>
          <w:szCs w:val="24"/>
        </w:rPr>
        <w:t>purpose</w:t>
      </w:r>
      <w:r w:rsidR="00732006">
        <w:rPr>
          <w:sz w:val="24"/>
          <w:szCs w:val="24"/>
        </w:rPr>
        <w:t>s</w:t>
      </w:r>
      <w:r w:rsidR="007A5E48">
        <w:rPr>
          <w:sz w:val="24"/>
          <w:szCs w:val="24"/>
        </w:rPr>
        <w:t xml:space="preserve"> </w:t>
      </w:r>
      <w:r w:rsidR="00C11D6E">
        <w:rPr>
          <w:sz w:val="24"/>
          <w:szCs w:val="24"/>
        </w:rPr>
        <w:t xml:space="preserve">is </w:t>
      </w:r>
      <w:r>
        <w:rPr>
          <w:sz w:val="24"/>
          <w:szCs w:val="24"/>
        </w:rPr>
        <w:t xml:space="preserve">to have judges with experience of defamation claims </w:t>
      </w:r>
      <w:r w:rsidR="007A3B6B">
        <w:rPr>
          <w:sz w:val="24"/>
          <w:szCs w:val="24"/>
        </w:rPr>
        <w:t xml:space="preserve">actively </w:t>
      </w:r>
      <w:r>
        <w:rPr>
          <w:sz w:val="24"/>
          <w:szCs w:val="24"/>
        </w:rPr>
        <w:t xml:space="preserve">engaging in case management to </w:t>
      </w:r>
      <w:r w:rsidRPr="00B56764">
        <w:rPr>
          <w:sz w:val="24"/>
          <w:szCs w:val="24"/>
        </w:rPr>
        <w:t xml:space="preserve">promote swift and effective dispute resolution </w:t>
      </w:r>
      <w:r w:rsidR="007A3B6B">
        <w:rPr>
          <w:sz w:val="24"/>
          <w:szCs w:val="24"/>
        </w:rPr>
        <w:t>in this highly technical area</w:t>
      </w:r>
      <w:r w:rsidRPr="00B56764">
        <w:rPr>
          <w:sz w:val="24"/>
          <w:szCs w:val="24"/>
        </w:rPr>
        <w:t>.</w:t>
      </w:r>
      <w:r w:rsidR="00CB0DA5">
        <w:rPr>
          <w:rStyle w:val="FootnoteReference"/>
          <w:sz w:val="24"/>
          <w:szCs w:val="24"/>
        </w:rPr>
        <w:footnoteReference w:id="41"/>
      </w:r>
      <w:r>
        <w:rPr>
          <w:sz w:val="24"/>
          <w:szCs w:val="24"/>
        </w:rPr>
        <w:t xml:space="preserve"> </w:t>
      </w:r>
    </w:p>
    <w:p w14:paraId="2220EDB2" w14:textId="611DEF15" w:rsidR="00BF23B7" w:rsidRDefault="00B56764" w:rsidP="00ED5981">
      <w:pPr>
        <w:pStyle w:val="ListParagraph"/>
        <w:numPr>
          <w:ilvl w:val="0"/>
          <w:numId w:val="1"/>
        </w:numPr>
        <w:spacing w:before="240" w:after="240" w:line="360" w:lineRule="auto"/>
        <w:contextualSpacing w:val="0"/>
        <w:rPr>
          <w:sz w:val="24"/>
          <w:szCs w:val="24"/>
        </w:rPr>
      </w:pPr>
      <w:r>
        <w:rPr>
          <w:sz w:val="24"/>
          <w:szCs w:val="24"/>
        </w:rPr>
        <w:t xml:space="preserve">Cost and delay have been longstanding </w:t>
      </w:r>
      <w:r w:rsidR="007A3B6B">
        <w:rPr>
          <w:sz w:val="24"/>
          <w:szCs w:val="24"/>
        </w:rPr>
        <w:t xml:space="preserve">problems </w:t>
      </w:r>
      <w:r>
        <w:rPr>
          <w:sz w:val="24"/>
          <w:szCs w:val="24"/>
        </w:rPr>
        <w:t xml:space="preserve">in defamation </w:t>
      </w:r>
      <w:r w:rsidR="00116F2A">
        <w:rPr>
          <w:sz w:val="24"/>
          <w:szCs w:val="24"/>
        </w:rPr>
        <w:t>cases</w:t>
      </w:r>
      <w:r w:rsidR="00CB0DA5">
        <w:rPr>
          <w:sz w:val="24"/>
          <w:szCs w:val="24"/>
        </w:rPr>
        <w:t>,</w:t>
      </w:r>
      <w:r w:rsidR="007A3B6B">
        <w:rPr>
          <w:sz w:val="24"/>
          <w:szCs w:val="24"/>
        </w:rPr>
        <w:t xml:space="preserve"> requiring </w:t>
      </w:r>
      <w:r w:rsidR="00116F2A">
        <w:rPr>
          <w:sz w:val="24"/>
          <w:szCs w:val="24"/>
        </w:rPr>
        <w:t>“</w:t>
      </w:r>
      <w:r w:rsidR="00116F2A" w:rsidRPr="00116F2A">
        <w:rPr>
          <w:i/>
          <w:iCs/>
          <w:sz w:val="24"/>
          <w:szCs w:val="24"/>
        </w:rPr>
        <w:t>imaginative case management</w:t>
      </w:r>
      <w:r w:rsidR="00116F2A">
        <w:rPr>
          <w:sz w:val="24"/>
          <w:szCs w:val="24"/>
        </w:rPr>
        <w:t xml:space="preserve">” to </w:t>
      </w:r>
      <w:r w:rsidR="007A3B6B">
        <w:rPr>
          <w:sz w:val="24"/>
          <w:szCs w:val="24"/>
        </w:rPr>
        <w:t>address them</w:t>
      </w:r>
      <w:r w:rsidR="00116F2A">
        <w:rPr>
          <w:sz w:val="24"/>
          <w:szCs w:val="24"/>
        </w:rPr>
        <w:t>.</w:t>
      </w:r>
      <w:r w:rsidR="00116F2A">
        <w:rPr>
          <w:rStyle w:val="FootnoteReference"/>
          <w:sz w:val="24"/>
          <w:szCs w:val="24"/>
        </w:rPr>
        <w:footnoteReference w:id="42"/>
      </w:r>
      <w:r w:rsidR="00116F2A">
        <w:rPr>
          <w:sz w:val="24"/>
          <w:szCs w:val="24"/>
        </w:rPr>
        <w:t xml:space="preserve"> </w:t>
      </w:r>
      <w:r w:rsidR="00800C9B">
        <w:rPr>
          <w:sz w:val="24"/>
          <w:szCs w:val="24"/>
        </w:rPr>
        <w:t xml:space="preserve">The longer and costlier the process, the greater the anxiety for the defendant and </w:t>
      </w:r>
      <w:r w:rsidR="00CB0DA5">
        <w:rPr>
          <w:sz w:val="24"/>
          <w:szCs w:val="24"/>
        </w:rPr>
        <w:t xml:space="preserve">the </w:t>
      </w:r>
      <w:r w:rsidR="00800C9B">
        <w:rPr>
          <w:sz w:val="24"/>
          <w:szCs w:val="24"/>
        </w:rPr>
        <w:t xml:space="preserve">interference with the Article 10 right. </w:t>
      </w:r>
      <w:r w:rsidR="00976172">
        <w:rPr>
          <w:sz w:val="24"/>
          <w:szCs w:val="24"/>
        </w:rPr>
        <w:t xml:space="preserve"> </w:t>
      </w:r>
    </w:p>
    <w:p w14:paraId="29B4204A" w14:textId="0D1F6980" w:rsidR="00884DB8" w:rsidRDefault="00884DB8" w:rsidP="00ED5981">
      <w:pPr>
        <w:pStyle w:val="ListParagraph"/>
        <w:numPr>
          <w:ilvl w:val="0"/>
          <w:numId w:val="1"/>
        </w:numPr>
        <w:spacing w:before="240" w:after="240" w:line="360" w:lineRule="auto"/>
        <w:contextualSpacing w:val="0"/>
        <w:rPr>
          <w:sz w:val="24"/>
          <w:szCs w:val="24"/>
        </w:rPr>
      </w:pPr>
      <w:r>
        <w:rPr>
          <w:sz w:val="24"/>
          <w:szCs w:val="24"/>
        </w:rPr>
        <w:t xml:space="preserve">The benefit of </w:t>
      </w:r>
      <w:r w:rsidR="00116F2A">
        <w:rPr>
          <w:sz w:val="24"/>
          <w:szCs w:val="24"/>
        </w:rPr>
        <w:t xml:space="preserve">a </w:t>
      </w:r>
      <w:r>
        <w:rPr>
          <w:sz w:val="24"/>
          <w:szCs w:val="24"/>
        </w:rPr>
        <w:t xml:space="preserve">discrete </w:t>
      </w:r>
      <w:r w:rsidR="00B56764">
        <w:rPr>
          <w:sz w:val="24"/>
          <w:szCs w:val="24"/>
        </w:rPr>
        <w:t xml:space="preserve">s.3(5) </w:t>
      </w:r>
      <w:r>
        <w:rPr>
          <w:sz w:val="24"/>
          <w:szCs w:val="24"/>
        </w:rPr>
        <w:t xml:space="preserve">trial in cases such as the present </w:t>
      </w:r>
      <w:r w:rsidR="00F4013A">
        <w:rPr>
          <w:sz w:val="24"/>
          <w:szCs w:val="24"/>
        </w:rPr>
        <w:t>i</w:t>
      </w:r>
      <w:r>
        <w:rPr>
          <w:sz w:val="24"/>
          <w:szCs w:val="24"/>
        </w:rPr>
        <w:t xml:space="preserve">s obvious. </w:t>
      </w:r>
      <w:r w:rsidR="00B56764">
        <w:rPr>
          <w:sz w:val="24"/>
          <w:szCs w:val="24"/>
        </w:rPr>
        <w:t>I</w:t>
      </w:r>
      <w:r>
        <w:rPr>
          <w:sz w:val="24"/>
          <w:szCs w:val="24"/>
        </w:rPr>
        <w:t xml:space="preserve">f </w:t>
      </w:r>
      <w:r w:rsidR="00116F2A">
        <w:rPr>
          <w:sz w:val="24"/>
          <w:szCs w:val="24"/>
        </w:rPr>
        <w:t xml:space="preserve">a </w:t>
      </w:r>
      <w:r>
        <w:rPr>
          <w:sz w:val="24"/>
          <w:szCs w:val="24"/>
        </w:rPr>
        <w:t xml:space="preserve">defendant succeeds – and s.3(5)/malice findings are exceptional – it is the end of the claim.  </w:t>
      </w:r>
      <w:r w:rsidR="00C11D6E">
        <w:rPr>
          <w:sz w:val="24"/>
          <w:szCs w:val="24"/>
        </w:rPr>
        <w:t>No other issue needs to be considered.</w:t>
      </w:r>
    </w:p>
    <w:p w14:paraId="75222D42" w14:textId="0FED231A" w:rsidR="00884DB8" w:rsidRDefault="00884DB8" w:rsidP="00ED5981">
      <w:pPr>
        <w:pStyle w:val="ListParagraph"/>
        <w:numPr>
          <w:ilvl w:val="0"/>
          <w:numId w:val="1"/>
        </w:numPr>
        <w:spacing w:before="240" w:after="240" w:line="360" w:lineRule="auto"/>
        <w:contextualSpacing w:val="0"/>
        <w:rPr>
          <w:sz w:val="24"/>
          <w:szCs w:val="24"/>
        </w:rPr>
      </w:pPr>
      <w:r>
        <w:rPr>
          <w:sz w:val="24"/>
          <w:szCs w:val="24"/>
        </w:rPr>
        <w:t xml:space="preserve">If </w:t>
      </w:r>
      <w:r w:rsidR="00116F2A">
        <w:rPr>
          <w:sz w:val="24"/>
          <w:szCs w:val="24"/>
        </w:rPr>
        <w:t xml:space="preserve">a </w:t>
      </w:r>
      <w:r>
        <w:rPr>
          <w:sz w:val="24"/>
          <w:szCs w:val="24"/>
        </w:rPr>
        <w:t xml:space="preserve">claimant succeeds it is likely to lead to the end of the claim. The TPI will have already determined defamatory meaning and s.2. It is unlikely that any other substantive defence will be available. </w:t>
      </w:r>
      <w:r w:rsidR="00116F2A">
        <w:rPr>
          <w:sz w:val="24"/>
          <w:szCs w:val="24"/>
        </w:rPr>
        <w:t xml:space="preserve">A </w:t>
      </w:r>
      <w:r>
        <w:rPr>
          <w:sz w:val="24"/>
          <w:szCs w:val="24"/>
        </w:rPr>
        <w:t xml:space="preserve">defendant may </w:t>
      </w:r>
      <w:r w:rsidR="00800C9B">
        <w:rPr>
          <w:sz w:val="24"/>
          <w:szCs w:val="24"/>
        </w:rPr>
        <w:t xml:space="preserve">have grounds for putting </w:t>
      </w:r>
      <w:r>
        <w:rPr>
          <w:sz w:val="24"/>
          <w:szCs w:val="24"/>
        </w:rPr>
        <w:t>serious harm in issue, but the likelihood is a settlement</w:t>
      </w:r>
      <w:r w:rsidR="00F4013A">
        <w:rPr>
          <w:sz w:val="24"/>
          <w:szCs w:val="24"/>
        </w:rPr>
        <w:t xml:space="preserve"> will follow</w:t>
      </w:r>
      <w:r>
        <w:rPr>
          <w:sz w:val="24"/>
          <w:szCs w:val="24"/>
        </w:rPr>
        <w:t xml:space="preserve">. </w:t>
      </w:r>
    </w:p>
    <w:p w14:paraId="245A3171" w14:textId="200C75A9" w:rsidR="00800C9B" w:rsidRDefault="00884DB8" w:rsidP="00ED5981">
      <w:pPr>
        <w:pStyle w:val="ListParagraph"/>
        <w:numPr>
          <w:ilvl w:val="0"/>
          <w:numId w:val="1"/>
        </w:numPr>
        <w:spacing w:before="240" w:after="240" w:line="360" w:lineRule="auto"/>
        <w:contextualSpacing w:val="0"/>
        <w:rPr>
          <w:sz w:val="24"/>
          <w:szCs w:val="24"/>
        </w:rPr>
      </w:pPr>
      <w:r>
        <w:rPr>
          <w:sz w:val="24"/>
          <w:szCs w:val="24"/>
        </w:rPr>
        <w:t xml:space="preserve">The length of </w:t>
      </w:r>
      <w:r w:rsidR="00116F2A">
        <w:rPr>
          <w:sz w:val="24"/>
          <w:szCs w:val="24"/>
        </w:rPr>
        <w:t xml:space="preserve">a </w:t>
      </w:r>
      <w:r>
        <w:rPr>
          <w:sz w:val="24"/>
          <w:szCs w:val="24"/>
        </w:rPr>
        <w:t xml:space="preserve">s.3(5) </w:t>
      </w:r>
      <w:r w:rsidR="00116F2A">
        <w:rPr>
          <w:sz w:val="24"/>
          <w:szCs w:val="24"/>
        </w:rPr>
        <w:t xml:space="preserve">trial will </w:t>
      </w:r>
      <w:r>
        <w:rPr>
          <w:sz w:val="24"/>
          <w:szCs w:val="24"/>
        </w:rPr>
        <w:t>vary. In the present case, there was no quibble with D’s ½ day estimate.   It is difficult to see what</w:t>
      </w:r>
      <w:r w:rsidR="00116F2A">
        <w:rPr>
          <w:sz w:val="24"/>
          <w:szCs w:val="24"/>
        </w:rPr>
        <w:t>, in substance,</w:t>
      </w:r>
      <w:r>
        <w:rPr>
          <w:sz w:val="24"/>
          <w:szCs w:val="24"/>
        </w:rPr>
        <w:t xml:space="preserve"> </w:t>
      </w:r>
      <w:r w:rsidR="00116F2A">
        <w:rPr>
          <w:sz w:val="24"/>
          <w:szCs w:val="24"/>
        </w:rPr>
        <w:t xml:space="preserve">the trial can entail other than </w:t>
      </w:r>
      <w:r w:rsidR="00CB0DA5">
        <w:rPr>
          <w:sz w:val="24"/>
          <w:szCs w:val="24"/>
        </w:rPr>
        <w:t xml:space="preserve">cross-examining D on the Interview and </w:t>
      </w:r>
      <w:r>
        <w:rPr>
          <w:sz w:val="24"/>
          <w:szCs w:val="24"/>
        </w:rPr>
        <w:t xml:space="preserve">putting to </w:t>
      </w:r>
      <w:r w:rsidR="00CB0DA5">
        <w:rPr>
          <w:sz w:val="24"/>
          <w:szCs w:val="24"/>
        </w:rPr>
        <w:t xml:space="preserve">him </w:t>
      </w:r>
      <w:r>
        <w:rPr>
          <w:sz w:val="24"/>
          <w:szCs w:val="24"/>
        </w:rPr>
        <w:t>that he must have realised that the Opinion was false</w:t>
      </w:r>
      <w:r w:rsidR="00800C9B">
        <w:rPr>
          <w:sz w:val="24"/>
          <w:szCs w:val="24"/>
        </w:rPr>
        <w:t xml:space="preserve">. </w:t>
      </w:r>
      <w:r>
        <w:rPr>
          <w:sz w:val="24"/>
          <w:szCs w:val="24"/>
        </w:rPr>
        <w:t xml:space="preserve"> </w:t>
      </w:r>
    </w:p>
    <w:p w14:paraId="4184EBC2" w14:textId="750052D6" w:rsidR="00976172" w:rsidRDefault="00800C9B" w:rsidP="00ED5981">
      <w:pPr>
        <w:pStyle w:val="ListParagraph"/>
        <w:numPr>
          <w:ilvl w:val="0"/>
          <w:numId w:val="1"/>
        </w:numPr>
        <w:spacing w:before="240" w:after="240" w:line="360" w:lineRule="auto"/>
        <w:contextualSpacing w:val="0"/>
        <w:rPr>
          <w:sz w:val="24"/>
          <w:szCs w:val="24"/>
        </w:rPr>
      </w:pPr>
      <w:r>
        <w:rPr>
          <w:sz w:val="24"/>
          <w:szCs w:val="24"/>
        </w:rPr>
        <w:t xml:space="preserve">In </w:t>
      </w:r>
      <w:r w:rsidR="00976172">
        <w:rPr>
          <w:i/>
          <w:iCs/>
          <w:sz w:val="24"/>
          <w:szCs w:val="24"/>
        </w:rPr>
        <w:t xml:space="preserve">Cook v Telegraph Media Group Ltd </w:t>
      </w:r>
      <w:r w:rsidRPr="00800C9B">
        <w:rPr>
          <w:sz w:val="24"/>
          <w:szCs w:val="24"/>
        </w:rPr>
        <w:t>[2011] EWHC 1519 (QB)</w:t>
      </w:r>
      <w:r>
        <w:rPr>
          <w:sz w:val="24"/>
          <w:szCs w:val="24"/>
        </w:rPr>
        <w:t xml:space="preserve"> </w:t>
      </w:r>
      <w:r w:rsidR="00976172" w:rsidRPr="00976172">
        <w:rPr>
          <w:sz w:val="24"/>
          <w:szCs w:val="24"/>
        </w:rPr>
        <w:t>Tugendhat J ordered a preliminary trial of the equivalent of s.3(4) and s.3(5)</w:t>
      </w:r>
      <w:r w:rsidR="00976172">
        <w:rPr>
          <w:sz w:val="24"/>
          <w:szCs w:val="24"/>
        </w:rPr>
        <w:t>,</w:t>
      </w:r>
      <w:r w:rsidR="00976172" w:rsidRPr="00976172">
        <w:rPr>
          <w:sz w:val="24"/>
          <w:szCs w:val="24"/>
        </w:rPr>
        <w:t xml:space="preserve"> after having found s3.(2) and (3) to be satisfied.</w:t>
      </w:r>
    </w:p>
    <w:p w14:paraId="01200013" w14:textId="0B8F1BF6" w:rsidR="00976172" w:rsidRDefault="00976172" w:rsidP="00ED5981">
      <w:pPr>
        <w:pStyle w:val="ListParagraph"/>
        <w:numPr>
          <w:ilvl w:val="0"/>
          <w:numId w:val="1"/>
        </w:numPr>
        <w:spacing w:before="240" w:after="240" w:line="360" w:lineRule="auto"/>
        <w:contextualSpacing w:val="0"/>
        <w:rPr>
          <w:sz w:val="24"/>
          <w:szCs w:val="24"/>
        </w:rPr>
      </w:pPr>
      <w:r>
        <w:rPr>
          <w:sz w:val="24"/>
          <w:szCs w:val="24"/>
        </w:rPr>
        <w:t xml:space="preserve">In the present case, there is a </w:t>
      </w:r>
      <w:r w:rsidR="00F4013A">
        <w:rPr>
          <w:sz w:val="24"/>
          <w:szCs w:val="24"/>
        </w:rPr>
        <w:t xml:space="preserve">further </w:t>
      </w:r>
      <w:r>
        <w:rPr>
          <w:sz w:val="24"/>
          <w:szCs w:val="24"/>
        </w:rPr>
        <w:t xml:space="preserve">factor that weighs in favour of the swift determination of s.3(5).  </w:t>
      </w:r>
      <w:r w:rsidR="00161CCE">
        <w:rPr>
          <w:sz w:val="24"/>
          <w:szCs w:val="24"/>
        </w:rPr>
        <w:t xml:space="preserve">Since </w:t>
      </w:r>
      <w:r w:rsidR="007A3B6B">
        <w:rPr>
          <w:sz w:val="24"/>
          <w:szCs w:val="24"/>
        </w:rPr>
        <w:t xml:space="preserve">the </w:t>
      </w:r>
      <w:r w:rsidR="00161CCE">
        <w:rPr>
          <w:sz w:val="24"/>
          <w:szCs w:val="24"/>
        </w:rPr>
        <w:t xml:space="preserve">11/2 judgment C has issued a series of </w:t>
      </w:r>
      <w:r w:rsidR="00CB0DA5">
        <w:rPr>
          <w:sz w:val="24"/>
          <w:szCs w:val="24"/>
        </w:rPr>
        <w:t xml:space="preserve">gloating </w:t>
      </w:r>
      <w:r w:rsidR="00161CCE">
        <w:rPr>
          <w:sz w:val="24"/>
          <w:szCs w:val="24"/>
        </w:rPr>
        <w:t>social posts misrepresenting the outcome and suggesting that D has been found to have lied.</w:t>
      </w:r>
      <w:r w:rsidR="00161CCE">
        <w:rPr>
          <w:rStyle w:val="FootnoteReference"/>
          <w:sz w:val="24"/>
          <w:szCs w:val="24"/>
        </w:rPr>
        <w:footnoteReference w:id="43"/>
      </w:r>
      <w:r w:rsidR="00161CCE">
        <w:rPr>
          <w:sz w:val="24"/>
          <w:szCs w:val="24"/>
        </w:rPr>
        <w:t xml:space="preserve">  This significantly enhances the weight properly to be given to D’s understandable desire for his honest opinion defence to be conclusively established as soon as possible. </w:t>
      </w:r>
    </w:p>
    <w:p w14:paraId="064A73B9" w14:textId="3FEB49B7" w:rsidR="00405947" w:rsidRDefault="00976172" w:rsidP="00ED5981">
      <w:pPr>
        <w:pStyle w:val="ListParagraph"/>
        <w:numPr>
          <w:ilvl w:val="0"/>
          <w:numId w:val="1"/>
        </w:numPr>
        <w:spacing w:before="240" w:after="240" w:line="360" w:lineRule="auto"/>
        <w:contextualSpacing w:val="0"/>
        <w:rPr>
          <w:sz w:val="24"/>
          <w:szCs w:val="24"/>
        </w:rPr>
      </w:pPr>
      <w:r>
        <w:rPr>
          <w:sz w:val="24"/>
          <w:szCs w:val="24"/>
        </w:rPr>
        <w:t xml:space="preserve">Notwithstanding </w:t>
      </w:r>
      <w:r w:rsidR="00161CCE">
        <w:rPr>
          <w:sz w:val="24"/>
          <w:szCs w:val="24"/>
        </w:rPr>
        <w:t>C</w:t>
      </w:r>
      <w:r w:rsidR="00AD2461">
        <w:rPr>
          <w:sz w:val="24"/>
          <w:szCs w:val="24"/>
        </w:rPr>
        <w:t>’s</w:t>
      </w:r>
      <w:r w:rsidR="00161CCE">
        <w:rPr>
          <w:sz w:val="24"/>
          <w:szCs w:val="24"/>
        </w:rPr>
        <w:t xml:space="preserve"> </w:t>
      </w:r>
      <w:r>
        <w:rPr>
          <w:sz w:val="24"/>
          <w:szCs w:val="24"/>
        </w:rPr>
        <w:t xml:space="preserve">public statements, </w:t>
      </w:r>
      <w:r w:rsidR="00161CCE">
        <w:rPr>
          <w:sz w:val="24"/>
          <w:szCs w:val="24"/>
        </w:rPr>
        <w:t xml:space="preserve">he </w:t>
      </w:r>
      <w:r>
        <w:rPr>
          <w:sz w:val="24"/>
          <w:szCs w:val="24"/>
        </w:rPr>
        <w:t>objected to the s.3(5) trial</w:t>
      </w:r>
      <w:r w:rsidR="00405947">
        <w:rPr>
          <w:sz w:val="24"/>
          <w:szCs w:val="24"/>
        </w:rPr>
        <w:t xml:space="preserve">. His reasons were that the issue </w:t>
      </w:r>
      <w:r w:rsidR="00161CCE">
        <w:rPr>
          <w:sz w:val="24"/>
          <w:szCs w:val="24"/>
        </w:rPr>
        <w:t>w</w:t>
      </w:r>
      <w:r w:rsidR="00405947">
        <w:rPr>
          <w:sz w:val="24"/>
          <w:szCs w:val="24"/>
        </w:rPr>
        <w:t>as not consequential on the judgment, was not formally before the Court as there was no application notice and no further TPI should be ordered before service of a Defence and Reply.</w:t>
      </w:r>
      <w:r w:rsidR="003F7C0F">
        <w:rPr>
          <w:rStyle w:val="FootnoteReference"/>
          <w:sz w:val="24"/>
          <w:szCs w:val="24"/>
        </w:rPr>
        <w:footnoteReference w:id="44"/>
      </w:r>
      <w:r w:rsidR="00405947">
        <w:rPr>
          <w:sz w:val="24"/>
          <w:szCs w:val="24"/>
        </w:rPr>
        <w:t xml:space="preserve"> As regards the latter: “</w:t>
      </w:r>
      <w:r w:rsidR="00405947" w:rsidRPr="00405947">
        <w:rPr>
          <w:i/>
          <w:iCs/>
          <w:sz w:val="24"/>
          <w:szCs w:val="24"/>
        </w:rPr>
        <w:t>The fog of war that obscures D’s case should be cleared for the litigation to proceed on a sure footing.</w:t>
      </w:r>
      <w:r w:rsidR="00405947">
        <w:rPr>
          <w:sz w:val="24"/>
          <w:szCs w:val="24"/>
        </w:rPr>
        <w:t>”</w:t>
      </w:r>
    </w:p>
    <w:p w14:paraId="003B8A2C" w14:textId="36C0BC40" w:rsidR="00DC6C64" w:rsidRDefault="00DC6C64" w:rsidP="00ED5981">
      <w:pPr>
        <w:pStyle w:val="ListParagraph"/>
        <w:numPr>
          <w:ilvl w:val="0"/>
          <w:numId w:val="1"/>
        </w:numPr>
        <w:spacing w:before="240" w:after="240" w:line="360" w:lineRule="auto"/>
        <w:contextualSpacing w:val="0"/>
        <w:rPr>
          <w:sz w:val="24"/>
          <w:szCs w:val="24"/>
        </w:rPr>
      </w:pPr>
      <w:r>
        <w:rPr>
          <w:sz w:val="24"/>
          <w:szCs w:val="24"/>
        </w:rPr>
        <w:t xml:space="preserve">C did not quibble with the benefits </w:t>
      </w:r>
      <w:r w:rsidR="007A3B6B">
        <w:rPr>
          <w:sz w:val="24"/>
          <w:szCs w:val="24"/>
        </w:rPr>
        <w:t xml:space="preserve">of a s.3(5) trial. These had </w:t>
      </w:r>
      <w:r>
        <w:rPr>
          <w:sz w:val="24"/>
          <w:szCs w:val="24"/>
        </w:rPr>
        <w:t xml:space="preserve">been set out </w:t>
      </w:r>
      <w:r w:rsidR="00161CCE">
        <w:rPr>
          <w:sz w:val="24"/>
          <w:szCs w:val="24"/>
        </w:rPr>
        <w:t xml:space="preserve">in </w:t>
      </w:r>
      <w:r>
        <w:rPr>
          <w:sz w:val="24"/>
          <w:szCs w:val="24"/>
        </w:rPr>
        <w:t>D’s solicitors</w:t>
      </w:r>
      <w:r w:rsidR="00161CCE">
        <w:rPr>
          <w:sz w:val="24"/>
          <w:szCs w:val="24"/>
        </w:rPr>
        <w:t>’</w:t>
      </w:r>
      <w:r>
        <w:rPr>
          <w:sz w:val="24"/>
          <w:szCs w:val="24"/>
        </w:rPr>
        <w:t xml:space="preserve"> </w:t>
      </w:r>
      <w:r w:rsidR="00161CCE">
        <w:rPr>
          <w:sz w:val="24"/>
          <w:szCs w:val="24"/>
        </w:rPr>
        <w:t>letter of 12/2</w:t>
      </w:r>
      <w:r>
        <w:rPr>
          <w:sz w:val="24"/>
          <w:szCs w:val="24"/>
        </w:rPr>
        <w:t xml:space="preserve">. C’s only substantive point </w:t>
      </w:r>
      <w:r w:rsidR="00D9510B">
        <w:rPr>
          <w:sz w:val="24"/>
          <w:szCs w:val="24"/>
        </w:rPr>
        <w:t xml:space="preserve">- </w:t>
      </w:r>
      <w:r>
        <w:rPr>
          <w:sz w:val="24"/>
          <w:szCs w:val="24"/>
        </w:rPr>
        <w:t>that statements of case were necessary for clarity</w:t>
      </w:r>
      <w:r w:rsidR="00D9510B">
        <w:rPr>
          <w:sz w:val="24"/>
          <w:szCs w:val="24"/>
        </w:rPr>
        <w:t xml:space="preserve"> - </w:t>
      </w:r>
      <w:r>
        <w:rPr>
          <w:sz w:val="24"/>
          <w:szCs w:val="24"/>
        </w:rPr>
        <w:t xml:space="preserve">was misconceived. D had established a s.3 defence to the statements complained of in both publications.  </w:t>
      </w:r>
      <w:r w:rsidR="00D9510B">
        <w:rPr>
          <w:sz w:val="24"/>
          <w:szCs w:val="24"/>
        </w:rPr>
        <w:t xml:space="preserve">It was clear from the judgment that the </w:t>
      </w:r>
      <w:r>
        <w:rPr>
          <w:sz w:val="24"/>
          <w:szCs w:val="24"/>
        </w:rPr>
        <w:t>only remaining issue was s.3(5).  Th</w:t>
      </w:r>
      <w:r w:rsidR="003077F6">
        <w:rPr>
          <w:sz w:val="24"/>
          <w:szCs w:val="24"/>
        </w:rPr>
        <w:t xml:space="preserve">e only need for clarity related to C’s </w:t>
      </w:r>
      <w:r>
        <w:rPr>
          <w:sz w:val="24"/>
          <w:szCs w:val="24"/>
        </w:rPr>
        <w:t>s.3(5)</w:t>
      </w:r>
      <w:r w:rsidR="00F4013A">
        <w:rPr>
          <w:sz w:val="24"/>
          <w:szCs w:val="24"/>
        </w:rPr>
        <w:t xml:space="preserve"> case</w:t>
      </w:r>
      <w:r w:rsidR="003077F6">
        <w:rPr>
          <w:sz w:val="24"/>
          <w:szCs w:val="24"/>
        </w:rPr>
        <w:t xml:space="preserve">. </w:t>
      </w:r>
      <w:r>
        <w:rPr>
          <w:sz w:val="24"/>
          <w:szCs w:val="24"/>
        </w:rPr>
        <w:t xml:space="preserve"> </w:t>
      </w:r>
      <w:r w:rsidR="003077F6">
        <w:rPr>
          <w:sz w:val="24"/>
          <w:szCs w:val="24"/>
        </w:rPr>
        <w:t>This was addressed is D’s proposed directions for the s.3(5) trial.</w:t>
      </w:r>
      <w:r w:rsidR="003077F6">
        <w:rPr>
          <w:rStyle w:val="FootnoteReference"/>
          <w:sz w:val="24"/>
          <w:szCs w:val="24"/>
        </w:rPr>
        <w:footnoteReference w:id="45"/>
      </w:r>
      <w:r>
        <w:rPr>
          <w:sz w:val="24"/>
          <w:szCs w:val="24"/>
        </w:rPr>
        <w:t xml:space="preserve"> </w:t>
      </w:r>
    </w:p>
    <w:p w14:paraId="34DC19B6" w14:textId="79F997AB" w:rsidR="00A66B8E" w:rsidRPr="003077F6" w:rsidRDefault="00A66B8E" w:rsidP="00F52AB6">
      <w:pPr>
        <w:pStyle w:val="ListParagraph"/>
        <w:numPr>
          <w:ilvl w:val="0"/>
          <w:numId w:val="1"/>
        </w:numPr>
        <w:spacing w:before="240" w:after="240" w:line="360" w:lineRule="auto"/>
        <w:contextualSpacing w:val="0"/>
        <w:rPr>
          <w:sz w:val="24"/>
          <w:szCs w:val="24"/>
        </w:rPr>
      </w:pPr>
      <w:r w:rsidRPr="003077F6">
        <w:rPr>
          <w:sz w:val="24"/>
          <w:szCs w:val="24"/>
        </w:rPr>
        <w:t xml:space="preserve">As </w:t>
      </w:r>
      <w:r w:rsidR="003077F6" w:rsidRPr="003077F6">
        <w:rPr>
          <w:sz w:val="24"/>
          <w:szCs w:val="24"/>
        </w:rPr>
        <w:t xml:space="preserve">recorded </w:t>
      </w:r>
      <w:r w:rsidRPr="003077F6">
        <w:rPr>
          <w:sz w:val="24"/>
          <w:szCs w:val="24"/>
        </w:rPr>
        <w:t>in GOA [5.1]</w:t>
      </w:r>
      <w:r w:rsidR="003A4C1E" w:rsidRPr="003077F6">
        <w:rPr>
          <w:sz w:val="24"/>
          <w:szCs w:val="24"/>
        </w:rPr>
        <w:t>,</w:t>
      </w:r>
      <w:r w:rsidRPr="003077F6">
        <w:rPr>
          <w:sz w:val="24"/>
          <w:szCs w:val="24"/>
        </w:rPr>
        <w:t xml:space="preserve"> the Judge ordered service of RAPOC and Defence followed by further case management by Master Dagnall</w:t>
      </w:r>
      <w:r w:rsidR="00161CCE" w:rsidRPr="003077F6">
        <w:rPr>
          <w:sz w:val="24"/>
          <w:szCs w:val="24"/>
        </w:rPr>
        <w:t xml:space="preserve">. His </w:t>
      </w:r>
      <w:r w:rsidR="003077F6" w:rsidRPr="003077F6">
        <w:rPr>
          <w:sz w:val="24"/>
          <w:szCs w:val="24"/>
        </w:rPr>
        <w:t xml:space="preserve">stated </w:t>
      </w:r>
      <w:r w:rsidR="00161CCE" w:rsidRPr="003077F6">
        <w:rPr>
          <w:sz w:val="24"/>
          <w:szCs w:val="24"/>
        </w:rPr>
        <w:t xml:space="preserve">reasons were </w:t>
      </w:r>
      <w:r w:rsidR="003077F6" w:rsidRPr="003077F6">
        <w:rPr>
          <w:sz w:val="24"/>
          <w:szCs w:val="24"/>
        </w:rPr>
        <w:t>the absence of a “</w:t>
      </w:r>
      <w:r w:rsidRPr="003077F6">
        <w:rPr>
          <w:i/>
          <w:iCs/>
          <w:sz w:val="24"/>
          <w:szCs w:val="24"/>
        </w:rPr>
        <w:t>formal application</w:t>
      </w:r>
      <w:r w:rsidR="003077F6" w:rsidRPr="003077F6">
        <w:rPr>
          <w:sz w:val="24"/>
          <w:szCs w:val="24"/>
        </w:rPr>
        <w:t>”</w:t>
      </w:r>
      <w:r w:rsidRPr="003077F6">
        <w:rPr>
          <w:sz w:val="24"/>
          <w:szCs w:val="24"/>
        </w:rPr>
        <w:t xml:space="preserve"> </w:t>
      </w:r>
      <w:r w:rsidR="003077F6" w:rsidRPr="003077F6">
        <w:rPr>
          <w:sz w:val="24"/>
          <w:szCs w:val="24"/>
        </w:rPr>
        <w:t xml:space="preserve">for a s.3(5) trial and that </w:t>
      </w:r>
      <w:r w:rsidRPr="003077F6">
        <w:rPr>
          <w:sz w:val="24"/>
          <w:szCs w:val="24"/>
        </w:rPr>
        <w:t>“</w:t>
      </w:r>
      <w:r w:rsidRPr="003077F6">
        <w:rPr>
          <w:i/>
          <w:iCs/>
          <w:sz w:val="24"/>
          <w:szCs w:val="24"/>
        </w:rPr>
        <w:t>case management in the King’s Bench Division by masters is the norm</w:t>
      </w:r>
      <w:r w:rsidRPr="003077F6">
        <w:rPr>
          <w:sz w:val="24"/>
          <w:szCs w:val="24"/>
        </w:rPr>
        <w:t>”.</w:t>
      </w:r>
      <w:r w:rsidR="00EA613B">
        <w:rPr>
          <w:rStyle w:val="FootnoteReference"/>
          <w:sz w:val="24"/>
          <w:szCs w:val="24"/>
        </w:rPr>
        <w:footnoteReference w:id="46"/>
      </w:r>
      <w:r w:rsidRPr="003077F6">
        <w:rPr>
          <w:sz w:val="24"/>
          <w:szCs w:val="24"/>
        </w:rPr>
        <w:t xml:space="preserve">  No specific provision was made for a reply on the basis that it was optional and was covered by CPR 15.8.</w:t>
      </w:r>
      <w:r w:rsidR="003A4C1E">
        <w:rPr>
          <w:rStyle w:val="FootnoteReference"/>
          <w:sz w:val="24"/>
          <w:szCs w:val="24"/>
        </w:rPr>
        <w:footnoteReference w:id="47"/>
      </w:r>
      <w:r w:rsidRPr="003077F6">
        <w:rPr>
          <w:sz w:val="24"/>
          <w:szCs w:val="24"/>
        </w:rPr>
        <w:t xml:space="preserve">  This provides </w:t>
      </w:r>
      <w:r w:rsidR="003077F6" w:rsidRPr="003077F6">
        <w:rPr>
          <w:sz w:val="24"/>
          <w:szCs w:val="24"/>
        </w:rPr>
        <w:t xml:space="preserve">for </w:t>
      </w:r>
      <w:r w:rsidRPr="003077F6">
        <w:rPr>
          <w:sz w:val="24"/>
          <w:szCs w:val="24"/>
        </w:rPr>
        <w:t xml:space="preserve">filing and service of the reply at the same time as </w:t>
      </w:r>
      <w:r w:rsidR="003077F6" w:rsidRPr="003077F6">
        <w:rPr>
          <w:sz w:val="24"/>
          <w:szCs w:val="24"/>
        </w:rPr>
        <w:t xml:space="preserve">the </w:t>
      </w:r>
      <w:r w:rsidR="003A4C1E" w:rsidRPr="003077F6">
        <w:rPr>
          <w:sz w:val="24"/>
          <w:szCs w:val="24"/>
        </w:rPr>
        <w:t>directions questionnaire.  In practice, this would mean that the issue of a s.3(5) trial would not be determined until a CCMC</w:t>
      </w:r>
      <w:r w:rsidR="007357EE" w:rsidRPr="003077F6">
        <w:rPr>
          <w:sz w:val="24"/>
          <w:szCs w:val="24"/>
        </w:rPr>
        <w:t xml:space="preserve">, </w:t>
      </w:r>
      <w:r w:rsidR="00CB0DA5">
        <w:rPr>
          <w:sz w:val="24"/>
          <w:szCs w:val="24"/>
        </w:rPr>
        <w:t xml:space="preserve">around </w:t>
      </w:r>
      <w:r w:rsidR="007357EE" w:rsidRPr="003077F6">
        <w:rPr>
          <w:sz w:val="24"/>
          <w:szCs w:val="24"/>
        </w:rPr>
        <w:t xml:space="preserve">a </w:t>
      </w:r>
      <w:r w:rsidR="003A4C1E" w:rsidRPr="003077F6">
        <w:rPr>
          <w:sz w:val="24"/>
          <w:szCs w:val="24"/>
        </w:rPr>
        <w:t xml:space="preserve">year later. </w:t>
      </w:r>
    </w:p>
    <w:p w14:paraId="0ADA26F6" w14:textId="1DDDC28C" w:rsidR="003A4C1E" w:rsidRDefault="003A4C1E" w:rsidP="00ED5981">
      <w:pPr>
        <w:pStyle w:val="ListParagraph"/>
        <w:numPr>
          <w:ilvl w:val="0"/>
          <w:numId w:val="1"/>
        </w:numPr>
        <w:spacing w:before="240" w:after="240" w:line="360" w:lineRule="auto"/>
        <w:contextualSpacing w:val="0"/>
        <w:rPr>
          <w:sz w:val="24"/>
          <w:szCs w:val="24"/>
        </w:rPr>
      </w:pPr>
      <w:r>
        <w:rPr>
          <w:sz w:val="24"/>
          <w:szCs w:val="24"/>
        </w:rPr>
        <w:t xml:space="preserve">The Judge made no </w:t>
      </w:r>
      <w:r w:rsidR="007937AE" w:rsidRPr="009A5728">
        <w:rPr>
          <w:sz w:val="24"/>
          <w:szCs w:val="24"/>
        </w:rPr>
        <w:t xml:space="preserve">case management </w:t>
      </w:r>
      <w:r>
        <w:rPr>
          <w:sz w:val="24"/>
          <w:szCs w:val="24"/>
        </w:rPr>
        <w:t xml:space="preserve">evaluation of the </w:t>
      </w:r>
      <w:r w:rsidR="00F4013A">
        <w:rPr>
          <w:sz w:val="24"/>
          <w:szCs w:val="24"/>
        </w:rPr>
        <w:t xml:space="preserve">proposed </w:t>
      </w:r>
      <w:r>
        <w:rPr>
          <w:sz w:val="24"/>
          <w:szCs w:val="24"/>
        </w:rPr>
        <w:t xml:space="preserve">s.3(5) trial. </w:t>
      </w:r>
      <w:r w:rsidR="007937AE" w:rsidRPr="009A5728">
        <w:rPr>
          <w:sz w:val="24"/>
          <w:szCs w:val="24"/>
        </w:rPr>
        <w:t xml:space="preserve">As a judge of the specialist MACL who had presided over the TPI and SJ application, it was for him to make the </w:t>
      </w:r>
      <w:r w:rsidR="007937AE">
        <w:rPr>
          <w:sz w:val="24"/>
          <w:szCs w:val="24"/>
        </w:rPr>
        <w:t>evaluation</w:t>
      </w:r>
      <w:r w:rsidR="007937AE" w:rsidRPr="009A5728">
        <w:rPr>
          <w:sz w:val="24"/>
          <w:szCs w:val="24"/>
        </w:rPr>
        <w:t xml:space="preserve">, not to pass </w:t>
      </w:r>
      <w:r w:rsidR="000318C7">
        <w:rPr>
          <w:sz w:val="24"/>
          <w:szCs w:val="24"/>
        </w:rPr>
        <w:t xml:space="preserve">it </w:t>
      </w:r>
      <w:r w:rsidR="007937AE" w:rsidRPr="009A5728">
        <w:rPr>
          <w:sz w:val="24"/>
          <w:szCs w:val="24"/>
        </w:rPr>
        <w:t xml:space="preserve">to a Master at an unspecified </w:t>
      </w:r>
      <w:r w:rsidR="00F4013A">
        <w:rPr>
          <w:sz w:val="24"/>
          <w:szCs w:val="24"/>
        </w:rPr>
        <w:t xml:space="preserve">future </w:t>
      </w:r>
      <w:r w:rsidR="007937AE" w:rsidRPr="009A5728">
        <w:rPr>
          <w:sz w:val="24"/>
          <w:szCs w:val="24"/>
        </w:rPr>
        <w:t>date after further costs had been incurred.</w:t>
      </w:r>
      <w:r w:rsidR="00CB0DA5">
        <w:rPr>
          <w:sz w:val="24"/>
          <w:szCs w:val="24"/>
        </w:rPr>
        <w:t xml:space="preserve"> </w:t>
      </w:r>
    </w:p>
    <w:p w14:paraId="2362B8AB" w14:textId="75062183" w:rsidR="00C474EC" w:rsidRDefault="003A4C1E" w:rsidP="00ED5981">
      <w:pPr>
        <w:pStyle w:val="ListParagraph"/>
        <w:numPr>
          <w:ilvl w:val="0"/>
          <w:numId w:val="1"/>
        </w:numPr>
        <w:spacing w:before="240" w:after="240" w:line="360" w:lineRule="auto"/>
        <w:contextualSpacing w:val="0"/>
        <w:rPr>
          <w:sz w:val="24"/>
          <w:szCs w:val="24"/>
        </w:rPr>
      </w:pPr>
      <w:r>
        <w:rPr>
          <w:sz w:val="24"/>
          <w:szCs w:val="24"/>
        </w:rPr>
        <w:t xml:space="preserve">There was no need for an application notice.  The order of </w:t>
      </w:r>
      <w:r w:rsidR="00C474EC">
        <w:rPr>
          <w:sz w:val="24"/>
          <w:szCs w:val="24"/>
        </w:rPr>
        <w:t xml:space="preserve">11/2 provided: </w:t>
      </w:r>
      <w:r w:rsidR="00C474EC" w:rsidRPr="00C474EC">
        <w:rPr>
          <w:sz w:val="24"/>
          <w:szCs w:val="24"/>
        </w:rPr>
        <w:t>“</w:t>
      </w:r>
      <w:r w:rsidR="00C474EC" w:rsidRPr="00C474EC">
        <w:rPr>
          <w:i/>
          <w:iCs/>
          <w:sz w:val="24"/>
          <w:szCs w:val="24"/>
        </w:rPr>
        <w:t xml:space="preserve">2. The   parties do lodge an agreed order or, failing agreement, do lodge and exchange   their  rival  draft  orders  and  written  submissions  as  to  </w:t>
      </w:r>
      <w:r w:rsidR="00C474EC" w:rsidRPr="00C474EC">
        <w:rPr>
          <w:i/>
          <w:iCs/>
          <w:sz w:val="24"/>
          <w:szCs w:val="24"/>
          <w:u w:val="single"/>
        </w:rPr>
        <w:t>all consequential matters</w:t>
      </w:r>
      <w:r w:rsidR="00C474EC" w:rsidRPr="00C474EC">
        <w:rPr>
          <w:i/>
          <w:iCs/>
          <w:sz w:val="24"/>
          <w:szCs w:val="24"/>
        </w:rPr>
        <w:t xml:space="preserve"> (including as to whether they seek to be heard orally) in support by  4pm on  21 February 2025”</w:t>
      </w:r>
      <w:r w:rsidR="00C474EC">
        <w:rPr>
          <w:i/>
          <w:iCs/>
          <w:sz w:val="24"/>
          <w:szCs w:val="24"/>
        </w:rPr>
        <w:t xml:space="preserve"> </w:t>
      </w:r>
      <w:r w:rsidR="00C474EC">
        <w:rPr>
          <w:sz w:val="24"/>
          <w:szCs w:val="24"/>
        </w:rPr>
        <w:t xml:space="preserve">[emphasis added].  D’s draft order contained provisions for </w:t>
      </w:r>
      <w:r w:rsidR="005A5ABF">
        <w:rPr>
          <w:sz w:val="24"/>
          <w:szCs w:val="24"/>
        </w:rPr>
        <w:t xml:space="preserve">a s.3(5) </w:t>
      </w:r>
      <w:r w:rsidR="00C474EC">
        <w:rPr>
          <w:sz w:val="24"/>
          <w:szCs w:val="24"/>
        </w:rPr>
        <w:t xml:space="preserve">trial. The accompanying submissions referred to the 12/2 letter as the reasons for it and requested a hearing to determine the issue.  C addressed the issue in his submissions. </w:t>
      </w:r>
    </w:p>
    <w:p w14:paraId="60AFD0CC" w14:textId="674BBF50" w:rsidR="006203FB" w:rsidRDefault="006203FB" w:rsidP="00ED5981">
      <w:pPr>
        <w:pStyle w:val="ListParagraph"/>
        <w:numPr>
          <w:ilvl w:val="0"/>
          <w:numId w:val="1"/>
        </w:numPr>
        <w:spacing w:before="240" w:after="240" w:line="360" w:lineRule="auto"/>
        <w:contextualSpacing w:val="0"/>
        <w:rPr>
          <w:sz w:val="24"/>
          <w:szCs w:val="24"/>
        </w:rPr>
      </w:pPr>
      <w:r>
        <w:rPr>
          <w:sz w:val="24"/>
          <w:szCs w:val="24"/>
        </w:rPr>
        <w:t xml:space="preserve">The </w:t>
      </w:r>
      <w:r w:rsidR="00C474EC">
        <w:rPr>
          <w:sz w:val="24"/>
          <w:szCs w:val="24"/>
        </w:rPr>
        <w:t>Judge’s clerk</w:t>
      </w:r>
      <w:r w:rsidR="005A5ABF">
        <w:rPr>
          <w:sz w:val="24"/>
          <w:szCs w:val="24"/>
        </w:rPr>
        <w:t>’s</w:t>
      </w:r>
      <w:r w:rsidR="00C474EC">
        <w:rPr>
          <w:sz w:val="24"/>
          <w:szCs w:val="24"/>
        </w:rPr>
        <w:t xml:space="preserve"> </w:t>
      </w:r>
      <w:r>
        <w:rPr>
          <w:sz w:val="24"/>
          <w:szCs w:val="24"/>
        </w:rPr>
        <w:t>email of 24/2 stated:</w:t>
      </w:r>
      <w:r w:rsidRPr="006203FB">
        <w:t xml:space="preserve"> </w:t>
      </w:r>
      <w:r>
        <w:t>“</w:t>
      </w:r>
      <w:r w:rsidRPr="006203FB">
        <w:rPr>
          <w:i/>
          <w:iCs/>
          <w:sz w:val="24"/>
          <w:szCs w:val="24"/>
        </w:rPr>
        <w:t xml:space="preserve">Broadly it appears that </w:t>
      </w:r>
      <w:r w:rsidRPr="006203FB">
        <w:rPr>
          <w:i/>
          <w:iCs/>
          <w:sz w:val="24"/>
          <w:szCs w:val="24"/>
          <w:u w:val="single"/>
        </w:rPr>
        <w:t>the principal consequential issues are</w:t>
      </w:r>
      <w:r w:rsidRPr="006203FB">
        <w:rPr>
          <w:i/>
          <w:iCs/>
          <w:sz w:val="24"/>
          <w:szCs w:val="24"/>
        </w:rPr>
        <w:t>: (1) The proper further case management of this case, and specifically the defendant’s suggestion that the court should order a further preliminary issue trial….</w:t>
      </w:r>
      <w:r w:rsidRPr="006203FB">
        <w:rPr>
          <w:i/>
          <w:iCs/>
        </w:rPr>
        <w:t xml:space="preserve"> </w:t>
      </w:r>
      <w:r w:rsidRPr="006203FB">
        <w:rPr>
          <w:i/>
          <w:iCs/>
          <w:sz w:val="24"/>
          <w:szCs w:val="24"/>
        </w:rPr>
        <w:t>Subject to such further submissions, the judge currently considers that these issues can properly be decided on the papers without a hearing and that he will also have to consider whether he should be making detailed directions or referring the matter back to the master.</w:t>
      </w:r>
      <w:r w:rsidRPr="006203FB">
        <w:rPr>
          <w:sz w:val="24"/>
          <w:szCs w:val="24"/>
        </w:rPr>
        <w:t>”</w:t>
      </w:r>
      <w:r>
        <w:rPr>
          <w:sz w:val="24"/>
          <w:szCs w:val="24"/>
        </w:rPr>
        <w:t xml:space="preserve"> [emphasis added]</w:t>
      </w:r>
    </w:p>
    <w:p w14:paraId="2CADB6EA" w14:textId="42BDFFBF" w:rsidR="006203FB" w:rsidRPr="009A5728" w:rsidRDefault="007937AE" w:rsidP="001A1B83">
      <w:pPr>
        <w:pStyle w:val="ListParagraph"/>
        <w:numPr>
          <w:ilvl w:val="0"/>
          <w:numId w:val="1"/>
        </w:numPr>
        <w:spacing w:before="240" w:after="240" w:line="360" w:lineRule="auto"/>
        <w:contextualSpacing w:val="0"/>
        <w:rPr>
          <w:sz w:val="24"/>
          <w:szCs w:val="24"/>
        </w:rPr>
      </w:pPr>
      <w:r>
        <w:rPr>
          <w:sz w:val="24"/>
          <w:szCs w:val="24"/>
        </w:rPr>
        <w:t>In the circumstances, the proposed s.3(5) trial was a “</w:t>
      </w:r>
      <w:r w:rsidRPr="007937AE">
        <w:rPr>
          <w:i/>
          <w:iCs/>
          <w:sz w:val="24"/>
          <w:szCs w:val="24"/>
        </w:rPr>
        <w:t xml:space="preserve">consequential </w:t>
      </w:r>
      <w:r>
        <w:rPr>
          <w:i/>
          <w:iCs/>
          <w:sz w:val="24"/>
          <w:szCs w:val="24"/>
        </w:rPr>
        <w:t>matter</w:t>
      </w:r>
      <w:r>
        <w:rPr>
          <w:sz w:val="24"/>
          <w:szCs w:val="24"/>
        </w:rPr>
        <w:t>” subject to a “</w:t>
      </w:r>
      <w:r w:rsidRPr="007937AE">
        <w:rPr>
          <w:i/>
          <w:iCs/>
          <w:sz w:val="24"/>
          <w:szCs w:val="24"/>
        </w:rPr>
        <w:t>formal application</w:t>
      </w:r>
      <w:r>
        <w:rPr>
          <w:sz w:val="24"/>
          <w:szCs w:val="24"/>
        </w:rPr>
        <w:t>”</w:t>
      </w:r>
      <w:r w:rsidR="00EA613B">
        <w:rPr>
          <w:sz w:val="24"/>
          <w:szCs w:val="24"/>
        </w:rPr>
        <w:t xml:space="preserve">.  </w:t>
      </w:r>
      <w:r w:rsidR="009A5728" w:rsidRPr="009A5728">
        <w:rPr>
          <w:sz w:val="24"/>
          <w:szCs w:val="24"/>
        </w:rPr>
        <w:t>D followed the procedure set down by the Judge</w:t>
      </w:r>
      <w:r>
        <w:rPr>
          <w:sz w:val="24"/>
          <w:szCs w:val="24"/>
        </w:rPr>
        <w:t xml:space="preserve">. He requested an oral hearing on s.3(5) but the Judge was content to make the decision on the papers.  </w:t>
      </w:r>
      <w:r w:rsidR="009A5728" w:rsidRPr="009A5728">
        <w:rPr>
          <w:sz w:val="24"/>
          <w:szCs w:val="24"/>
        </w:rPr>
        <w:t xml:space="preserve">In the circumstances, </w:t>
      </w:r>
      <w:r w:rsidR="00EA613B">
        <w:rPr>
          <w:sz w:val="24"/>
          <w:szCs w:val="24"/>
        </w:rPr>
        <w:t xml:space="preserve">it is plainly wrong for the Judge </w:t>
      </w:r>
      <w:r w:rsidR="00AD2461">
        <w:rPr>
          <w:sz w:val="24"/>
          <w:szCs w:val="24"/>
        </w:rPr>
        <w:t xml:space="preserve">to </w:t>
      </w:r>
      <w:r w:rsidR="00EA613B">
        <w:rPr>
          <w:sz w:val="24"/>
          <w:szCs w:val="24"/>
        </w:rPr>
        <w:t xml:space="preserve">rely on the absence of an application notice to justify not making a substantive case management decision on s.3(5).  </w:t>
      </w:r>
    </w:p>
    <w:p w14:paraId="36B3045E" w14:textId="7C258DE4" w:rsidR="00B56764" w:rsidRPr="00431835" w:rsidRDefault="0055374F" w:rsidP="00D22DF6">
      <w:pPr>
        <w:pStyle w:val="ListParagraph"/>
        <w:numPr>
          <w:ilvl w:val="0"/>
          <w:numId w:val="1"/>
        </w:numPr>
        <w:spacing w:before="240" w:after="240" w:line="360" w:lineRule="auto"/>
        <w:contextualSpacing w:val="0"/>
        <w:rPr>
          <w:sz w:val="24"/>
          <w:szCs w:val="24"/>
        </w:rPr>
      </w:pPr>
      <w:r>
        <w:rPr>
          <w:sz w:val="24"/>
          <w:szCs w:val="24"/>
        </w:rPr>
        <w:t xml:space="preserve">Whatever </w:t>
      </w:r>
      <w:r w:rsidR="00F4013A">
        <w:rPr>
          <w:sz w:val="24"/>
          <w:szCs w:val="24"/>
        </w:rPr>
        <w:t>categorisation is applied to D’s attempt to obtain an order for a s.3</w:t>
      </w:r>
      <w:r>
        <w:rPr>
          <w:sz w:val="24"/>
          <w:szCs w:val="24"/>
        </w:rPr>
        <w:t xml:space="preserve">(5) trial, the </w:t>
      </w:r>
      <w:r w:rsidR="00F4013A">
        <w:rPr>
          <w:sz w:val="24"/>
          <w:szCs w:val="24"/>
        </w:rPr>
        <w:t xml:space="preserve">fact is that the Judge has decided not to make the order.  </w:t>
      </w:r>
      <w:r w:rsidR="009A5728" w:rsidRPr="00431835">
        <w:rPr>
          <w:sz w:val="24"/>
          <w:szCs w:val="24"/>
        </w:rPr>
        <w:t xml:space="preserve">That decision may be reviewed by the Court of Appeal subject to the usual </w:t>
      </w:r>
      <w:r w:rsidR="00431835" w:rsidRPr="00431835">
        <w:rPr>
          <w:sz w:val="24"/>
          <w:szCs w:val="24"/>
        </w:rPr>
        <w:t>restrictions on reviewing case management decisions.</w:t>
      </w:r>
      <w:r w:rsidR="00B3500F">
        <w:rPr>
          <w:rStyle w:val="FootnoteReference"/>
          <w:sz w:val="24"/>
          <w:szCs w:val="24"/>
        </w:rPr>
        <w:footnoteReference w:id="48"/>
      </w:r>
      <w:r w:rsidR="00431835" w:rsidRPr="00431835">
        <w:rPr>
          <w:sz w:val="24"/>
          <w:szCs w:val="24"/>
        </w:rPr>
        <w:t xml:space="preserve"> For the reasons set out in GOA[5] and above, there is a real prospect of the Court concluding that it has the power to review the </w:t>
      </w:r>
      <w:r w:rsidR="007357EE">
        <w:rPr>
          <w:sz w:val="24"/>
          <w:szCs w:val="24"/>
        </w:rPr>
        <w:t xml:space="preserve">Judge’s </w:t>
      </w:r>
      <w:r w:rsidR="00431835" w:rsidRPr="00431835">
        <w:rPr>
          <w:sz w:val="24"/>
          <w:szCs w:val="24"/>
        </w:rPr>
        <w:t>decision and that</w:t>
      </w:r>
      <w:r w:rsidR="007357EE">
        <w:rPr>
          <w:sz w:val="24"/>
          <w:szCs w:val="24"/>
        </w:rPr>
        <w:t xml:space="preserve">, if his substantive judgment on s.2, 3(4) and 3(5) is to stand, </w:t>
      </w:r>
      <w:r w:rsidR="00431835" w:rsidRPr="00431835">
        <w:rPr>
          <w:sz w:val="24"/>
          <w:szCs w:val="24"/>
        </w:rPr>
        <w:t xml:space="preserve">a s.3(5) trial should </w:t>
      </w:r>
      <w:r w:rsidR="007357EE">
        <w:rPr>
          <w:sz w:val="24"/>
          <w:szCs w:val="24"/>
        </w:rPr>
        <w:t>follow</w:t>
      </w:r>
      <w:r w:rsidR="00F4013A">
        <w:rPr>
          <w:sz w:val="24"/>
          <w:szCs w:val="24"/>
        </w:rPr>
        <w:t xml:space="preserve"> forthwith</w:t>
      </w:r>
      <w:r w:rsidR="00431835" w:rsidRPr="00431835">
        <w:rPr>
          <w:sz w:val="24"/>
          <w:szCs w:val="24"/>
        </w:rPr>
        <w:t xml:space="preserve">. </w:t>
      </w:r>
    </w:p>
    <w:p w14:paraId="6F06F5B1" w14:textId="1BA35912" w:rsidR="00617E7B" w:rsidRPr="001D153F" w:rsidRDefault="00617E7B" w:rsidP="00617E7B">
      <w:pPr>
        <w:pStyle w:val="ListParagraph"/>
        <w:spacing w:before="240" w:after="240"/>
        <w:ind w:left="357"/>
        <w:jc w:val="right"/>
        <w:rPr>
          <w:b/>
          <w:sz w:val="24"/>
          <w:szCs w:val="24"/>
        </w:rPr>
      </w:pPr>
      <w:r w:rsidRPr="001D153F">
        <w:rPr>
          <w:b/>
          <w:sz w:val="24"/>
          <w:szCs w:val="24"/>
        </w:rPr>
        <w:t xml:space="preserve">David Price </w:t>
      </w:r>
      <w:r w:rsidR="00DA080A">
        <w:rPr>
          <w:b/>
          <w:sz w:val="24"/>
          <w:szCs w:val="24"/>
        </w:rPr>
        <w:t>K</w:t>
      </w:r>
      <w:r w:rsidRPr="001D153F">
        <w:rPr>
          <w:b/>
          <w:sz w:val="24"/>
          <w:szCs w:val="24"/>
        </w:rPr>
        <w:t>C</w:t>
      </w:r>
    </w:p>
    <w:p w14:paraId="70CB50C7" w14:textId="6FB4CA53" w:rsidR="00617E7B" w:rsidRPr="001D153F" w:rsidRDefault="00675F4D" w:rsidP="00617E7B">
      <w:pPr>
        <w:pStyle w:val="ListParagraph"/>
        <w:spacing w:before="240" w:after="240"/>
        <w:ind w:left="357"/>
        <w:jc w:val="right"/>
        <w:rPr>
          <w:sz w:val="24"/>
          <w:szCs w:val="24"/>
        </w:rPr>
      </w:pPr>
      <w:r>
        <w:rPr>
          <w:sz w:val="24"/>
          <w:szCs w:val="24"/>
        </w:rPr>
        <w:t xml:space="preserve">15 April </w:t>
      </w:r>
      <w:r w:rsidR="00617E7B" w:rsidRPr="001D153F">
        <w:rPr>
          <w:sz w:val="24"/>
          <w:szCs w:val="24"/>
        </w:rPr>
        <w:t>202</w:t>
      </w:r>
      <w:r w:rsidR="006D395D">
        <w:rPr>
          <w:sz w:val="24"/>
          <w:szCs w:val="24"/>
        </w:rPr>
        <w:t>5</w:t>
      </w:r>
    </w:p>
    <w:p w14:paraId="1B6AA665" w14:textId="41F39716" w:rsidR="00617E7B" w:rsidRPr="00617E7B" w:rsidRDefault="00617E7B" w:rsidP="00D328B5">
      <w:pPr>
        <w:pStyle w:val="ListParagraph"/>
        <w:spacing w:before="240" w:after="240"/>
        <w:ind w:left="357"/>
        <w:jc w:val="right"/>
        <w:rPr>
          <w:sz w:val="24"/>
          <w:szCs w:val="24"/>
        </w:rPr>
      </w:pPr>
      <w:r w:rsidRPr="001D153F">
        <w:rPr>
          <w:sz w:val="24"/>
          <w:szCs w:val="24"/>
        </w:rPr>
        <w:t>For the Defendant</w:t>
      </w:r>
      <w:r w:rsidR="006D395D">
        <w:rPr>
          <w:sz w:val="24"/>
          <w:szCs w:val="24"/>
        </w:rPr>
        <w:t>/Appellant</w:t>
      </w:r>
    </w:p>
    <w:sectPr w:rsidR="00617E7B" w:rsidRPr="00617E7B" w:rsidSect="0008745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33CDC" w14:textId="77777777" w:rsidR="009A35AE" w:rsidRDefault="009A35AE" w:rsidP="00313F03">
      <w:r>
        <w:separator/>
      </w:r>
    </w:p>
  </w:endnote>
  <w:endnote w:type="continuationSeparator" w:id="0">
    <w:p w14:paraId="42CA2F8F" w14:textId="77777777" w:rsidR="009A35AE" w:rsidRDefault="009A35AE" w:rsidP="00313F03">
      <w:r>
        <w:continuationSeparator/>
      </w:r>
    </w:p>
  </w:endnote>
  <w:endnote w:type="continuationNotice" w:id="1">
    <w:p w14:paraId="5452C0C7" w14:textId="77777777" w:rsidR="009A35AE" w:rsidRDefault="009A3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7999015"/>
      <w:docPartObj>
        <w:docPartGallery w:val="Page Numbers (Bottom of Page)"/>
        <w:docPartUnique/>
      </w:docPartObj>
    </w:sdtPr>
    <w:sdtEndPr>
      <w:rPr>
        <w:noProof/>
      </w:rPr>
    </w:sdtEndPr>
    <w:sdtContent>
      <w:p w14:paraId="7589117B" w14:textId="494A02F0" w:rsidR="006203FB" w:rsidRDefault="006203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FFF531" w14:textId="77777777" w:rsidR="006203FB" w:rsidRDefault="00620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8A069" w14:textId="77777777" w:rsidR="009A35AE" w:rsidRDefault="009A35AE" w:rsidP="00313F03">
      <w:r>
        <w:separator/>
      </w:r>
    </w:p>
  </w:footnote>
  <w:footnote w:type="continuationSeparator" w:id="0">
    <w:p w14:paraId="6B3B8D1B" w14:textId="77777777" w:rsidR="009A35AE" w:rsidRDefault="009A35AE" w:rsidP="00313F03">
      <w:r>
        <w:continuationSeparator/>
      </w:r>
    </w:p>
  </w:footnote>
  <w:footnote w:type="continuationNotice" w:id="1">
    <w:p w14:paraId="53E435A2" w14:textId="77777777" w:rsidR="009A35AE" w:rsidRDefault="009A35AE"/>
  </w:footnote>
  <w:footnote w:id="2">
    <w:p w14:paraId="713294C5" w14:textId="4BEDD9E5" w:rsidR="007F2EFB" w:rsidRDefault="007F2EFB">
      <w:pPr>
        <w:pStyle w:val="FootnoteText"/>
      </w:pPr>
      <w:r>
        <w:rPr>
          <w:rStyle w:val="FootnoteReference"/>
        </w:rPr>
        <w:footnoteRef/>
      </w:r>
      <w:r>
        <w:t xml:space="preserve"> See </w:t>
      </w:r>
      <w:r w:rsidR="00F26252">
        <w:t xml:space="preserve">Reason </w:t>
      </w:r>
      <w:r>
        <w:t>[5](a)(iii)</w:t>
      </w:r>
      <w:r w:rsidR="00F26252">
        <w:t xml:space="preserve"> for the order of 8 April 2025</w:t>
      </w:r>
      <w:r>
        <w:t>.</w:t>
      </w:r>
    </w:p>
  </w:footnote>
  <w:footnote w:id="3">
    <w:p w14:paraId="43FF00B8" w14:textId="7672956D" w:rsidR="007F2EFB" w:rsidRDefault="007F2EFB" w:rsidP="007F2EFB">
      <w:pPr>
        <w:pStyle w:val="FootnoteText"/>
      </w:pPr>
      <w:r>
        <w:rPr>
          <w:rStyle w:val="FootnoteReference"/>
        </w:rPr>
        <w:footnoteRef/>
      </w:r>
      <w:r>
        <w:t xml:space="preserve"> </w:t>
      </w:r>
      <w:r w:rsidR="00B87B70">
        <w:t>[5](a)(vi). See also the erroneous reasoning at (viii) that a real prospect of success on s.3(4) necessarily means a real prospect of success on s.3(5).</w:t>
      </w:r>
    </w:p>
  </w:footnote>
  <w:footnote w:id="4">
    <w:p w14:paraId="3A113FBB" w14:textId="06FC70C0" w:rsidR="006203FB" w:rsidRDefault="006203FB" w:rsidP="008C09EB">
      <w:pPr>
        <w:pStyle w:val="FootnoteText"/>
      </w:pPr>
      <w:r>
        <w:rPr>
          <w:rStyle w:val="FootnoteReference"/>
        </w:rPr>
        <w:footnoteRef/>
      </w:r>
      <w:r>
        <w:t xml:space="preserve"> </w:t>
      </w:r>
      <w:r w:rsidR="00D26573">
        <w:t xml:space="preserve">See the White Book Notes at [52.21.5] citing </w:t>
      </w:r>
      <w:r w:rsidR="00D26573" w:rsidRPr="00D26573">
        <w:rPr>
          <w:i/>
          <w:iCs/>
        </w:rPr>
        <w:t>Prescott v Potamianos</w:t>
      </w:r>
      <w:r w:rsidR="00D26573" w:rsidRPr="00D26573">
        <w:t xml:space="preserve"> [2019] EWCA Civ 932 at [76]</w:t>
      </w:r>
      <w:r w:rsidR="00D26573">
        <w:t>: “</w:t>
      </w:r>
      <w:r w:rsidR="00B87B70" w:rsidRPr="00D26573">
        <w:rPr>
          <w:i/>
          <w:iCs/>
        </w:rPr>
        <w:t>the decision of the judge was wrong by reason of some identifiable flaw in the judge’s treatment of the question to be decided, ‘such as a gap in logic, a lack of consistency, or a failure to take account of some material factor, which undermines the cogency of the conclusion</w:t>
      </w:r>
      <w:r w:rsidR="00D26573">
        <w:rPr>
          <w:i/>
          <w:iCs/>
        </w:rPr>
        <w:t>”.</w:t>
      </w:r>
    </w:p>
  </w:footnote>
  <w:footnote w:id="5">
    <w:p w14:paraId="050AF261" w14:textId="2820E4CC" w:rsidR="006203FB" w:rsidRDefault="006203FB">
      <w:pPr>
        <w:pStyle w:val="FootnoteText"/>
      </w:pPr>
      <w:r>
        <w:rPr>
          <w:rStyle w:val="FootnoteReference"/>
        </w:rPr>
        <w:footnoteRef/>
      </w:r>
      <w:r>
        <w:t xml:space="preserve"> </w:t>
      </w:r>
      <w:r w:rsidR="00D26573">
        <w:t xml:space="preserve">See, for example, </w:t>
      </w:r>
      <w:r w:rsidR="00D26573" w:rsidRPr="003F7C0F">
        <w:rPr>
          <w:i/>
          <w:iCs/>
        </w:rPr>
        <w:t>Lord Ashcroft KCMG v Foley</w:t>
      </w:r>
      <w:r w:rsidR="00D26573" w:rsidRPr="00D26573">
        <w:t xml:space="preserve"> [2012] EWHC 2214 (QB) </w:t>
      </w:r>
      <w:r w:rsidR="00D26573">
        <w:t xml:space="preserve">at [10]-[14], where the distinction was expressly noted. </w:t>
      </w:r>
    </w:p>
  </w:footnote>
  <w:footnote w:id="6">
    <w:p w14:paraId="3E6B0124" w14:textId="13117FF7" w:rsidR="00012B99" w:rsidRDefault="00012B99">
      <w:pPr>
        <w:pStyle w:val="FootnoteText"/>
      </w:pPr>
      <w:r>
        <w:rPr>
          <w:rStyle w:val="FootnoteReference"/>
        </w:rPr>
        <w:footnoteRef/>
      </w:r>
      <w:r>
        <w:t xml:space="preserve"> D’s PTA application of 20/2/25</w:t>
      </w:r>
      <w:r w:rsidR="004735CC">
        <w:t xml:space="preserve"> at [3]. </w:t>
      </w:r>
    </w:p>
  </w:footnote>
  <w:footnote w:id="7">
    <w:p w14:paraId="636400CF" w14:textId="05856A1F" w:rsidR="00012B99" w:rsidRDefault="00012B99">
      <w:pPr>
        <w:pStyle w:val="FootnoteText"/>
      </w:pPr>
      <w:r>
        <w:rPr>
          <w:rStyle w:val="FootnoteReference"/>
        </w:rPr>
        <w:footnoteRef/>
      </w:r>
      <w:r>
        <w:t xml:space="preserve"> See the exchange at </w:t>
      </w:r>
      <w:r w:rsidR="004735CC">
        <w:t>p94/12-21: “</w:t>
      </w:r>
      <w:r w:rsidR="004735CC" w:rsidRPr="000B4A48">
        <w:rPr>
          <w:i/>
          <w:iCs/>
        </w:rPr>
        <w:t>MR. PRICE:  In addition, there is a specific obligation on the court to scrutinise every piece of evidence that's relied on by a claimant and ask whether it is more probative of the existence of malice than its non-existence, or in this case, whether it's more probative of the defendant not believing that the claimant had called Hamas freedom fighters.  And if it is not more probative, it is just ignored.  You have to look at individual pieces of evidence carefully, and then you look at the totality. MR. JUSTICE PEPPERALL:  Yes.</w:t>
      </w:r>
      <w:r w:rsidR="004735CC">
        <w:t>”</w:t>
      </w:r>
    </w:p>
  </w:footnote>
  <w:footnote w:id="8">
    <w:p w14:paraId="432B0EC5" w14:textId="58173F21" w:rsidR="006203FB" w:rsidRDefault="006203FB">
      <w:pPr>
        <w:pStyle w:val="FootnoteText"/>
      </w:pPr>
      <w:r>
        <w:rPr>
          <w:rStyle w:val="FootnoteReference"/>
        </w:rPr>
        <w:footnoteRef/>
      </w:r>
      <w:r>
        <w:t xml:space="preserve"> </w:t>
      </w:r>
      <w:r w:rsidR="00172B87">
        <w:t xml:space="preserve">See </w:t>
      </w:r>
      <w:r w:rsidR="00172B87" w:rsidRPr="00172B87">
        <w:rPr>
          <w:i/>
          <w:iCs/>
        </w:rPr>
        <w:t>Horrocks v Lowe</w:t>
      </w:r>
      <w:r w:rsidR="00172B87" w:rsidRPr="00172B87">
        <w:t xml:space="preserve"> [1975] AC 135</w:t>
      </w:r>
      <w:r w:rsidR="00172B87">
        <w:t xml:space="preserve"> at 151A. In relation to Art 10, see,</w:t>
      </w:r>
      <w:r w:rsidR="00D26573">
        <w:t xml:space="preserve"> </w:t>
      </w:r>
      <w:r w:rsidR="00D26573" w:rsidRPr="00D26573">
        <w:rPr>
          <w:i/>
          <w:iCs/>
        </w:rPr>
        <w:t>Lord Ashcroft KCMG v Foley</w:t>
      </w:r>
      <w:r w:rsidR="00D26573" w:rsidRPr="00D26573">
        <w:t xml:space="preserve"> [2012] EWHC 2214 (QB) </w:t>
      </w:r>
      <w:r w:rsidR="00D26573">
        <w:t xml:space="preserve">at [11] and </w:t>
      </w:r>
      <w:r w:rsidRPr="00D26573">
        <w:rPr>
          <w:i/>
          <w:iCs/>
        </w:rPr>
        <w:t>Yeo v Times Newspapers Ltd</w:t>
      </w:r>
      <w:r w:rsidRPr="00FC4711">
        <w:t xml:space="preserve"> </w:t>
      </w:r>
      <w:r w:rsidR="00F26252" w:rsidRPr="00F26252">
        <w:t xml:space="preserve">[2015] EMLR 18 </w:t>
      </w:r>
      <w:r w:rsidRPr="00FC4711">
        <w:t>at [30]–[3</w:t>
      </w:r>
      <w:r w:rsidR="00F26252">
        <w:t>5</w:t>
      </w:r>
      <w:r w:rsidRPr="00FC4711">
        <w:t>]</w:t>
      </w:r>
      <w:r w:rsidR="00D26573">
        <w:t xml:space="preserve">. </w:t>
      </w:r>
    </w:p>
  </w:footnote>
  <w:footnote w:id="9">
    <w:p w14:paraId="7048DA70" w14:textId="686A7C73" w:rsidR="006203FB" w:rsidRDefault="006203FB">
      <w:pPr>
        <w:pStyle w:val="FootnoteText"/>
      </w:pPr>
      <w:r>
        <w:rPr>
          <w:rStyle w:val="FootnoteReference"/>
        </w:rPr>
        <w:footnoteRef/>
      </w:r>
      <w:r>
        <w:t xml:space="preserve"> </w:t>
      </w:r>
      <w:r w:rsidR="00172B87" w:rsidRPr="002B36F4">
        <w:rPr>
          <w:i/>
          <w:iCs/>
        </w:rPr>
        <w:t>Tse Wai Chun Paul v Cheng [2001] EMLR 777</w:t>
      </w:r>
      <w:r w:rsidR="00172B87">
        <w:t xml:space="preserve"> at </w:t>
      </w:r>
      <w:r w:rsidR="002B36F4">
        <w:t>[41].</w:t>
      </w:r>
    </w:p>
  </w:footnote>
  <w:footnote w:id="10">
    <w:p w14:paraId="1F5D31EC" w14:textId="62E438F8" w:rsidR="006203FB" w:rsidRDefault="006203FB">
      <w:pPr>
        <w:pStyle w:val="FootnoteText"/>
      </w:pPr>
      <w:r>
        <w:rPr>
          <w:rStyle w:val="FootnoteReference"/>
        </w:rPr>
        <w:footnoteRef/>
      </w:r>
      <w:r>
        <w:t xml:space="preserve"> </w:t>
      </w:r>
      <w:r w:rsidR="002B36F4">
        <w:rPr>
          <w:i/>
          <w:iCs/>
        </w:rPr>
        <w:t xml:space="preserve">Tse </w:t>
      </w:r>
      <w:r w:rsidR="002B36F4">
        <w:t>at [42].</w:t>
      </w:r>
    </w:p>
  </w:footnote>
  <w:footnote w:id="11">
    <w:p w14:paraId="3E39E123" w14:textId="2097B767" w:rsidR="006203FB" w:rsidRDefault="006203FB">
      <w:pPr>
        <w:pStyle w:val="FootnoteText"/>
      </w:pPr>
      <w:r>
        <w:rPr>
          <w:rStyle w:val="FootnoteReference"/>
        </w:rPr>
        <w:footnoteRef/>
      </w:r>
      <w:r>
        <w:t xml:space="preserve"> </w:t>
      </w:r>
      <w:r w:rsidR="002B36F4">
        <w:t xml:space="preserve">See, for example, </w:t>
      </w:r>
      <w:r w:rsidR="002B36F4" w:rsidRPr="002B36F4">
        <w:rPr>
          <w:i/>
          <w:iCs/>
        </w:rPr>
        <w:t>George v Cannell</w:t>
      </w:r>
      <w:r w:rsidR="002B36F4" w:rsidRPr="002B36F4">
        <w:t xml:space="preserve"> [2023] QB 117</w:t>
      </w:r>
      <w:r w:rsidR="002B36F4">
        <w:t xml:space="preserve"> at [70] and </w:t>
      </w:r>
      <w:r w:rsidR="002B36F4" w:rsidRPr="002B36F4">
        <w:rPr>
          <w:i/>
          <w:iCs/>
        </w:rPr>
        <w:t>Thornton v Telegraph Media Group Ltd</w:t>
      </w:r>
      <w:r w:rsidR="002B36F4">
        <w:t xml:space="preserve"> </w:t>
      </w:r>
      <w:r w:rsidR="002B36F4" w:rsidRPr="002B36F4">
        <w:t>[2011] 1 WLR 1985</w:t>
      </w:r>
      <w:r w:rsidR="002B36F4">
        <w:t xml:space="preserve"> at [62]. </w:t>
      </w:r>
    </w:p>
  </w:footnote>
  <w:footnote w:id="12">
    <w:p w14:paraId="1BEA0C96" w14:textId="5F83C8A6" w:rsidR="006203FB" w:rsidRDefault="006203FB">
      <w:pPr>
        <w:pStyle w:val="FootnoteText"/>
      </w:pPr>
      <w:r>
        <w:rPr>
          <w:rStyle w:val="FootnoteReference"/>
        </w:rPr>
        <w:footnoteRef/>
      </w:r>
      <w:r>
        <w:t xml:space="preserve"> See, for example, </w:t>
      </w:r>
      <w:r w:rsidRPr="00DF63F6">
        <w:rPr>
          <w:i/>
          <w:iCs/>
        </w:rPr>
        <w:t>Amersi v Leslie</w:t>
      </w:r>
      <w:r w:rsidRPr="00DF63F6">
        <w:t xml:space="preserve"> [2023] EWHC 1368 (KB)</w:t>
      </w:r>
      <w:r>
        <w:t xml:space="preserve"> at [182] </w:t>
      </w:r>
      <w:r w:rsidR="002B36F4">
        <w:t xml:space="preserve">where Nicklin J refers to </w:t>
      </w:r>
      <w:r w:rsidR="002B36F4">
        <w:rPr>
          <w:i/>
          <w:iCs/>
        </w:rPr>
        <w:t xml:space="preserve">“entitled (and bound)”. </w:t>
      </w:r>
      <w:r w:rsidR="002B36F4">
        <w:t xml:space="preserve">The duty on the court arises from Article 6 in the context of the serious interference to the Article 10 right in allowing the claim to continue.  The duty to carefully </w:t>
      </w:r>
      <w:r w:rsidR="001A3D58">
        <w:t xml:space="preserve">analyse </w:t>
      </w:r>
      <w:r w:rsidR="002B36F4">
        <w:t>also arises at common law under the probability test (see [</w:t>
      </w:r>
      <w:r w:rsidR="00620D1C">
        <w:t>24.1</w:t>
      </w:r>
      <w:r w:rsidR="002B36F4">
        <w:t xml:space="preserve">] below). </w:t>
      </w:r>
    </w:p>
  </w:footnote>
  <w:footnote w:id="13">
    <w:p w14:paraId="06C8C604" w14:textId="4F693C84" w:rsidR="006203FB" w:rsidRDefault="006203FB">
      <w:pPr>
        <w:pStyle w:val="FootnoteText"/>
      </w:pPr>
      <w:r>
        <w:rPr>
          <w:rStyle w:val="FootnoteReference"/>
        </w:rPr>
        <w:footnoteRef/>
      </w:r>
      <w:r>
        <w:t xml:space="preserve"> See, for example, </w:t>
      </w:r>
      <w:r>
        <w:rPr>
          <w:i/>
          <w:lang w:val="en-US"/>
        </w:rPr>
        <w:t xml:space="preserve">Turner v MGM Ltd </w:t>
      </w:r>
      <w:r>
        <w:rPr>
          <w:lang w:val="en-US"/>
        </w:rPr>
        <w:t xml:space="preserve">[1950] 1 ALL ER 449 </w:t>
      </w:r>
      <w:r w:rsidR="002B36F4">
        <w:rPr>
          <w:lang w:val="en-US"/>
        </w:rPr>
        <w:t xml:space="preserve">(HL) </w:t>
      </w:r>
      <w:r>
        <w:rPr>
          <w:lang w:val="en-US"/>
        </w:rPr>
        <w:t xml:space="preserve">at 455B-C citing </w:t>
      </w:r>
      <w:r w:rsidRPr="007F79B2">
        <w:rPr>
          <w:i/>
          <w:iCs/>
          <w:lang w:val="en-US"/>
        </w:rPr>
        <w:t>Somerville v Hawkins</w:t>
      </w:r>
      <w:r w:rsidRPr="007F79B2">
        <w:rPr>
          <w:lang w:val="en-US"/>
        </w:rPr>
        <w:t xml:space="preserve"> (1851) 10 CB 583</w:t>
      </w:r>
      <w:r>
        <w:rPr>
          <w:lang w:val="en-US"/>
        </w:rPr>
        <w:t xml:space="preserve"> at 590.</w:t>
      </w:r>
    </w:p>
  </w:footnote>
  <w:footnote w:id="14">
    <w:p w14:paraId="0C40429E" w14:textId="1FCBD468" w:rsidR="006203FB" w:rsidRDefault="006203FB">
      <w:pPr>
        <w:pStyle w:val="FootnoteText"/>
      </w:pPr>
      <w:r>
        <w:rPr>
          <w:rStyle w:val="FootnoteReference"/>
        </w:rPr>
        <w:footnoteRef/>
      </w:r>
      <w:r>
        <w:t xml:space="preserve"> See </w:t>
      </w:r>
      <w:r>
        <w:rPr>
          <w:i/>
          <w:iCs/>
        </w:rPr>
        <w:t xml:space="preserve">Turner </w:t>
      </w:r>
      <w:r>
        <w:t xml:space="preserve">above and </w:t>
      </w:r>
      <w:r>
        <w:rPr>
          <w:i/>
        </w:rPr>
        <w:t xml:space="preserve">Telnikoff v Matusevich </w:t>
      </w:r>
      <w:r>
        <w:t xml:space="preserve">[1991] 1 QB 102 at 120E (approved in </w:t>
      </w:r>
      <w:r w:rsidRPr="00645D6A">
        <w:rPr>
          <w:i/>
          <w:iCs/>
        </w:rPr>
        <w:t>Telnikoff v Matusevich</w:t>
      </w:r>
      <w:r>
        <w:t xml:space="preserve"> </w:t>
      </w:r>
      <w:r w:rsidRPr="00645D6A">
        <w:t>[1992] 2 AC 343</w:t>
      </w:r>
      <w:r>
        <w:t xml:space="preserve"> at 355E</w:t>
      </w:r>
      <w:r w:rsidR="002B36F4">
        <w:t>).</w:t>
      </w:r>
    </w:p>
  </w:footnote>
  <w:footnote w:id="15">
    <w:p w14:paraId="0029A152" w14:textId="5C239AB5" w:rsidR="006203FB" w:rsidRDefault="006203FB">
      <w:pPr>
        <w:pStyle w:val="FootnoteText"/>
      </w:pPr>
      <w:r>
        <w:rPr>
          <w:rStyle w:val="FootnoteReference"/>
        </w:rPr>
        <w:footnoteRef/>
      </w:r>
      <w:r>
        <w:t xml:space="preserve"> See also </w:t>
      </w:r>
      <w:r>
        <w:rPr>
          <w:i/>
        </w:rPr>
        <w:t xml:space="preserve">Telnikoff </w:t>
      </w:r>
      <w:r>
        <w:t>at 120E</w:t>
      </w:r>
    </w:p>
  </w:footnote>
  <w:footnote w:id="16">
    <w:p w14:paraId="4AA558D9" w14:textId="43E49CEB" w:rsidR="006203FB" w:rsidRDefault="006203FB">
      <w:pPr>
        <w:pStyle w:val="FootnoteText"/>
      </w:pPr>
      <w:r>
        <w:rPr>
          <w:rStyle w:val="FootnoteReference"/>
        </w:rPr>
        <w:footnoteRef/>
      </w:r>
      <w:r>
        <w:t xml:space="preserve"> </w:t>
      </w:r>
      <w:r w:rsidR="002B36F4">
        <w:t xml:space="preserve">See </w:t>
      </w:r>
      <w:r w:rsidR="002B36F4">
        <w:rPr>
          <w:i/>
          <w:iCs/>
        </w:rPr>
        <w:t xml:space="preserve">Gatley </w:t>
      </w:r>
      <w:r w:rsidR="002B36F4">
        <w:t>at [</w:t>
      </w:r>
      <w:r>
        <w:t>18-18</w:t>
      </w:r>
      <w:r w:rsidR="002B36F4">
        <w:t>].</w:t>
      </w:r>
    </w:p>
  </w:footnote>
  <w:footnote w:id="17">
    <w:p w14:paraId="18813588" w14:textId="2FE8F4FB" w:rsidR="006203FB" w:rsidRDefault="006203FB">
      <w:pPr>
        <w:pStyle w:val="FootnoteText"/>
      </w:pPr>
      <w:r>
        <w:rPr>
          <w:rStyle w:val="FootnoteReference"/>
        </w:rPr>
        <w:footnoteRef/>
      </w:r>
      <w:r>
        <w:t xml:space="preserve"> </w:t>
      </w:r>
      <w:r w:rsidRPr="00645D6A">
        <w:t>For a recent example</w:t>
      </w:r>
      <w:r>
        <w:t xml:space="preserve"> of such statements</w:t>
      </w:r>
      <w:r w:rsidRPr="00645D6A">
        <w:t xml:space="preserve">, see </w:t>
      </w:r>
      <w:r w:rsidRPr="00645D6A">
        <w:rPr>
          <w:i/>
          <w:iCs/>
        </w:rPr>
        <w:t>George v Cannell</w:t>
      </w:r>
      <w:r w:rsidRPr="00645D6A">
        <w:t xml:space="preserve"> [2024] 3 WLR 153, Lord Leggatt at [88] and Warby LJ at [70] in [2023] QB 117.</w:t>
      </w:r>
    </w:p>
  </w:footnote>
  <w:footnote w:id="18">
    <w:p w14:paraId="0E9AF776" w14:textId="7DAC2CD9" w:rsidR="006203FB" w:rsidRDefault="006203FB">
      <w:pPr>
        <w:pStyle w:val="FootnoteText"/>
      </w:pPr>
      <w:r>
        <w:rPr>
          <w:rStyle w:val="FootnoteReference"/>
        </w:rPr>
        <w:footnoteRef/>
      </w:r>
      <w:r>
        <w:t xml:space="preserve"> </w:t>
      </w:r>
      <w:r w:rsidR="00CE7E2F" w:rsidRPr="00CE7E2F">
        <w:t>[1991] 1 QB 102</w:t>
      </w:r>
      <w:r w:rsidR="00CE7E2F">
        <w:t xml:space="preserve"> </w:t>
      </w:r>
      <w:r w:rsidR="00782384">
        <w:t xml:space="preserve">CA </w:t>
      </w:r>
      <w:r w:rsidR="00CE7E2F">
        <w:t xml:space="preserve">at </w:t>
      </w:r>
      <w:r w:rsidR="00CE7E2F" w:rsidRPr="00CE7E2F">
        <w:t>112G-113G and 120A-121D</w:t>
      </w:r>
      <w:r w:rsidR="00CE7E2F">
        <w:t xml:space="preserve"> and </w:t>
      </w:r>
      <w:r w:rsidRPr="00645D6A">
        <w:t>[1992] 2 AC 343</w:t>
      </w:r>
      <w:r w:rsidR="00CE7E2F">
        <w:t xml:space="preserve"> </w:t>
      </w:r>
      <w:r>
        <w:t>at 354G and 355E</w:t>
      </w:r>
      <w:r w:rsidRPr="00451269">
        <w:t>.</w:t>
      </w:r>
    </w:p>
  </w:footnote>
  <w:footnote w:id="19">
    <w:p w14:paraId="256A843B" w14:textId="54A1F716" w:rsidR="006203FB" w:rsidRDefault="006203FB">
      <w:pPr>
        <w:pStyle w:val="FootnoteText"/>
      </w:pPr>
      <w:r>
        <w:rPr>
          <w:rStyle w:val="FootnoteReference"/>
        </w:rPr>
        <w:footnoteRef/>
      </w:r>
      <w:r>
        <w:t xml:space="preserve"> SA </w:t>
      </w:r>
      <w:r w:rsidR="00CE7E2F">
        <w:t>[</w:t>
      </w:r>
      <w:r>
        <w:t>95.2</w:t>
      </w:r>
      <w:r w:rsidR="00CE7E2F">
        <w:t>].</w:t>
      </w:r>
    </w:p>
  </w:footnote>
  <w:footnote w:id="20">
    <w:p w14:paraId="160E2CFB" w14:textId="6E75DA52" w:rsidR="006203FB" w:rsidRDefault="006203FB">
      <w:pPr>
        <w:pStyle w:val="FootnoteText"/>
      </w:pPr>
      <w:r>
        <w:rPr>
          <w:rStyle w:val="FootnoteReference"/>
        </w:rPr>
        <w:footnoteRef/>
      </w:r>
      <w:r>
        <w:t xml:space="preserve"> </w:t>
      </w:r>
      <w:r w:rsidR="00CE7E2F">
        <w:t>At [3].</w:t>
      </w:r>
    </w:p>
  </w:footnote>
  <w:footnote w:id="21">
    <w:p w14:paraId="23C9088D" w14:textId="66F151CA" w:rsidR="006203FB" w:rsidRDefault="006203FB">
      <w:pPr>
        <w:pStyle w:val="FootnoteText"/>
      </w:pPr>
      <w:r>
        <w:rPr>
          <w:rStyle w:val="FootnoteReference"/>
        </w:rPr>
        <w:footnoteRef/>
      </w:r>
      <w:r>
        <w:t xml:space="preserve"> “</w:t>
      </w:r>
      <w:r w:rsidRPr="000029B6">
        <w:rPr>
          <w:i/>
          <w:iCs/>
        </w:rPr>
        <w:t>Lord Bailey analysed Mr Vince's interview albeit with reference to the same part of the interview that was extracted by Guido Fawkes</w:t>
      </w:r>
      <w:r>
        <w:t>”</w:t>
      </w:r>
      <w:r w:rsidRPr="001E11C6">
        <w:t>.</w:t>
      </w:r>
    </w:p>
  </w:footnote>
  <w:footnote w:id="22">
    <w:p w14:paraId="6AEE2CE7" w14:textId="52B9F411" w:rsidR="006203FB" w:rsidRDefault="006203FB">
      <w:pPr>
        <w:pStyle w:val="FootnoteText"/>
      </w:pPr>
      <w:r>
        <w:rPr>
          <w:rStyle w:val="FootnoteReference"/>
        </w:rPr>
        <w:footnoteRef/>
      </w:r>
      <w:r>
        <w:t xml:space="preserve"> </w:t>
      </w:r>
      <w:r w:rsidR="00CE7E2F">
        <w:t>At [9].</w:t>
      </w:r>
    </w:p>
  </w:footnote>
  <w:footnote w:id="23">
    <w:p w14:paraId="614FEC9F" w14:textId="62959B63" w:rsidR="006203FB" w:rsidRDefault="006203FB">
      <w:pPr>
        <w:pStyle w:val="FootnoteText"/>
      </w:pPr>
      <w:r>
        <w:rPr>
          <w:rStyle w:val="FootnoteReference"/>
        </w:rPr>
        <w:footnoteRef/>
      </w:r>
      <w:r>
        <w:t xml:space="preserve"> </w:t>
      </w:r>
      <w:r w:rsidR="00CE7E2F">
        <w:t>At [25].</w:t>
      </w:r>
    </w:p>
  </w:footnote>
  <w:footnote w:id="24">
    <w:p w14:paraId="2DAEDAA7" w14:textId="6528601B" w:rsidR="006203FB" w:rsidRDefault="006203FB">
      <w:pPr>
        <w:pStyle w:val="FootnoteText"/>
      </w:pPr>
      <w:r>
        <w:rPr>
          <w:rStyle w:val="FootnoteReference"/>
        </w:rPr>
        <w:footnoteRef/>
      </w:r>
      <w:r>
        <w:t xml:space="preserve"> </w:t>
      </w:r>
      <w:r w:rsidR="00A03839">
        <w:t>At [30].</w:t>
      </w:r>
    </w:p>
  </w:footnote>
  <w:footnote w:id="25">
    <w:p w14:paraId="5E17EE72" w14:textId="7767B8A8" w:rsidR="006203FB" w:rsidRDefault="006203FB">
      <w:pPr>
        <w:pStyle w:val="FootnoteText"/>
      </w:pPr>
      <w:r>
        <w:rPr>
          <w:rStyle w:val="FootnoteReference"/>
        </w:rPr>
        <w:footnoteRef/>
      </w:r>
      <w:r>
        <w:t xml:space="preserve"> </w:t>
      </w:r>
      <w:r w:rsidR="00A03839">
        <w:t xml:space="preserve">See, for example, </w:t>
      </w:r>
      <w:r w:rsidR="00A03839" w:rsidRPr="00A03839">
        <w:rPr>
          <w:i/>
          <w:iCs/>
        </w:rPr>
        <w:t>Ali v Associated Newspapers Ltd</w:t>
      </w:r>
      <w:r w:rsidR="00A03839" w:rsidRPr="00A03839">
        <w:t xml:space="preserve"> [2010] EWHC 100 (QB)</w:t>
      </w:r>
      <w:r w:rsidR="00A03839">
        <w:t>.</w:t>
      </w:r>
    </w:p>
  </w:footnote>
  <w:footnote w:id="26">
    <w:p w14:paraId="5441E16E" w14:textId="79333776" w:rsidR="006203FB" w:rsidRDefault="006203FB" w:rsidP="00CB0DD7">
      <w:pPr>
        <w:pStyle w:val="FootnoteText"/>
      </w:pPr>
      <w:r>
        <w:rPr>
          <w:rStyle w:val="FootnoteReference"/>
        </w:rPr>
        <w:footnoteRef/>
      </w:r>
      <w:r>
        <w:t xml:space="preserve"> </w:t>
      </w:r>
      <w:r w:rsidR="00A03839">
        <w:t xml:space="preserve">See the Reasons at [3], [8] &amp; [12]. </w:t>
      </w:r>
    </w:p>
  </w:footnote>
  <w:footnote w:id="27">
    <w:p w14:paraId="2931193D" w14:textId="0B2EC4AC" w:rsidR="006203FB" w:rsidRDefault="006203FB">
      <w:pPr>
        <w:pStyle w:val="FootnoteText"/>
      </w:pPr>
      <w:r>
        <w:rPr>
          <w:rStyle w:val="FootnoteReference"/>
        </w:rPr>
        <w:footnoteRef/>
      </w:r>
      <w:r>
        <w:t xml:space="preserve"> </w:t>
      </w:r>
      <w:r w:rsidR="00A03839">
        <w:t xml:space="preserve">See, for example, </w:t>
      </w:r>
      <w:r w:rsidR="00A03839" w:rsidRPr="00A03839">
        <w:rPr>
          <w:i/>
          <w:iCs/>
        </w:rPr>
        <w:t>Berezovsky v Forbes</w:t>
      </w:r>
      <w:r w:rsidR="00A03839" w:rsidRPr="00A03839">
        <w:t xml:space="preserve"> [2001] EMLR 45</w:t>
      </w:r>
      <w:r w:rsidR="00A03839">
        <w:t xml:space="preserve"> at [16].</w:t>
      </w:r>
    </w:p>
  </w:footnote>
  <w:footnote w:id="28">
    <w:p w14:paraId="7E88634C" w14:textId="4C68BFAC" w:rsidR="00416A4C" w:rsidRDefault="00416A4C">
      <w:pPr>
        <w:pStyle w:val="FootnoteText"/>
      </w:pPr>
      <w:r>
        <w:rPr>
          <w:rStyle w:val="FootnoteReference"/>
        </w:rPr>
        <w:footnoteRef/>
      </w:r>
      <w:r>
        <w:t xml:space="preserve"> See [16] above. </w:t>
      </w:r>
    </w:p>
  </w:footnote>
  <w:footnote w:id="29">
    <w:p w14:paraId="6A240D0C" w14:textId="45200AED" w:rsidR="006203FB" w:rsidRDefault="006203FB">
      <w:pPr>
        <w:pStyle w:val="FootnoteText"/>
      </w:pPr>
      <w:r>
        <w:rPr>
          <w:rStyle w:val="FootnoteReference"/>
        </w:rPr>
        <w:footnoteRef/>
      </w:r>
      <w:r>
        <w:t xml:space="preserve"> </w:t>
      </w:r>
      <w:r w:rsidR="00A03839">
        <w:t xml:space="preserve">See Coad Law letter of 4/9/24. </w:t>
      </w:r>
    </w:p>
  </w:footnote>
  <w:footnote w:id="30">
    <w:p w14:paraId="70E8EFF8" w14:textId="1859ADD0" w:rsidR="006203FB" w:rsidRDefault="006203FB">
      <w:pPr>
        <w:pStyle w:val="FootnoteText"/>
      </w:pPr>
      <w:r>
        <w:rPr>
          <w:rStyle w:val="FootnoteReference"/>
        </w:rPr>
        <w:footnoteRef/>
      </w:r>
      <w:r>
        <w:t xml:space="preserve"> </w:t>
      </w:r>
      <w:r w:rsidR="00A03839">
        <w:t xml:space="preserve">See Brett Wilson’s </w:t>
      </w:r>
      <w:r>
        <w:t>2</w:t>
      </w:r>
      <w:r w:rsidRPr="004B7F8F">
        <w:rPr>
          <w:vertAlign w:val="superscript"/>
        </w:rPr>
        <w:t>nd</w:t>
      </w:r>
      <w:r>
        <w:t xml:space="preserve"> letter </w:t>
      </w:r>
      <w:r w:rsidR="00A03839">
        <w:t xml:space="preserve">of </w:t>
      </w:r>
      <w:r>
        <w:t>10/9</w:t>
      </w:r>
      <w:r w:rsidR="00A03839">
        <w:t xml:space="preserve">/24. </w:t>
      </w:r>
    </w:p>
  </w:footnote>
  <w:footnote w:id="31">
    <w:p w14:paraId="3072BC3F" w14:textId="77777777" w:rsidR="006203FB" w:rsidRDefault="006203FB" w:rsidP="00DC4623">
      <w:pPr>
        <w:pStyle w:val="FootnoteText"/>
      </w:pPr>
      <w:r>
        <w:rPr>
          <w:rStyle w:val="FootnoteReference"/>
        </w:rPr>
        <w:footnoteRef/>
      </w:r>
      <w:r>
        <w:t xml:space="preserve"> </w:t>
      </w:r>
      <w:r w:rsidRPr="004A4232">
        <w:t>[4] &amp; [13]</w:t>
      </w:r>
    </w:p>
  </w:footnote>
  <w:footnote w:id="32">
    <w:p w14:paraId="4F3F5F0A" w14:textId="3E2F87BC" w:rsidR="006203FB" w:rsidRDefault="006203FB">
      <w:pPr>
        <w:pStyle w:val="FootnoteText"/>
      </w:pPr>
      <w:r>
        <w:rPr>
          <w:rStyle w:val="FootnoteReference"/>
        </w:rPr>
        <w:footnoteRef/>
      </w:r>
      <w:r>
        <w:t xml:space="preserve"> See </w:t>
      </w:r>
      <w:r w:rsidRPr="004B7F8F">
        <w:rPr>
          <w:i/>
          <w:iCs/>
        </w:rPr>
        <w:t>British Chiropractic Association v Singh</w:t>
      </w:r>
      <w:r w:rsidRPr="004B7F8F">
        <w:t xml:space="preserve"> [2011] 1 WLR 133</w:t>
      </w:r>
      <w:r>
        <w:t xml:space="preserve"> at [32].</w:t>
      </w:r>
    </w:p>
  </w:footnote>
  <w:footnote w:id="33">
    <w:p w14:paraId="1EDDF45F" w14:textId="6658CE49" w:rsidR="006203FB" w:rsidRPr="004B7F8F" w:rsidRDefault="006203FB">
      <w:pPr>
        <w:pStyle w:val="FootnoteText"/>
      </w:pPr>
      <w:r>
        <w:rPr>
          <w:rStyle w:val="FootnoteReference"/>
        </w:rPr>
        <w:footnoteRef/>
      </w:r>
      <w:r>
        <w:t xml:space="preserve"> See again, the observation of Lord Phillips in </w:t>
      </w:r>
      <w:r>
        <w:rPr>
          <w:i/>
          <w:iCs/>
        </w:rPr>
        <w:t xml:space="preserve">Spiller </w:t>
      </w:r>
      <w:r>
        <w:t>at [108].</w:t>
      </w:r>
    </w:p>
  </w:footnote>
  <w:footnote w:id="34">
    <w:p w14:paraId="64950E04" w14:textId="77777777" w:rsidR="006203FB" w:rsidRDefault="006203FB" w:rsidP="00777E62">
      <w:pPr>
        <w:pStyle w:val="FootnoteText"/>
      </w:pPr>
      <w:r>
        <w:rPr>
          <w:rStyle w:val="FootnoteReference"/>
        </w:rPr>
        <w:footnoteRef/>
      </w:r>
      <w:r>
        <w:t xml:space="preserve"> See the White Book Notes at 24.3.3 and [105] below.</w:t>
      </w:r>
    </w:p>
  </w:footnote>
  <w:footnote w:id="35">
    <w:p w14:paraId="6F87926C" w14:textId="0A017376" w:rsidR="006203FB" w:rsidRDefault="006203FB">
      <w:pPr>
        <w:pStyle w:val="FootnoteText"/>
      </w:pPr>
      <w:r>
        <w:rPr>
          <w:rStyle w:val="FootnoteReference"/>
        </w:rPr>
        <w:footnoteRef/>
      </w:r>
      <w:r>
        <w:t xml:space="preserve"> SA</w:t>
      </w:r>
      <w:r w:rsidR="00A03839">
        <w:t xml:space="preserve"> at </w:t>
      </w:r>
      <w:r>
        <w:t>[97]</w:t>
      </w:r>
    </w:p>
  </w:footnote>
  <w:footnote w:id="36">
    <w:p w14:paraId="55CA55CC" w14:textId="5E30A15C" w:rsidR="006203FB" w:rsidRDefault="006203FB">
      <w:pPr>
        <w:pStyle w:val="FootnoteText"/>
      </w:pPr>
      <w:r>
        <w:rPr>
          <w:rStyle w:val="FootnoteReference"/>
        </w:rPr>
        <w:footnoteRef/>
      </w:r>
      <w:r>
        <w:t xml:space="preserve"> SA</w:t>
      </w:r>
      <w:r w:rsidR="00A03839">
        <w:t xml:space="preserve"> at </w:t>
      </w:r>
      <w:r>
        <w:t>[101]</w:t>
      </w:r>
    </w:p>
  </w:footnote>
  <w:footnote w:id="37">
    <w:p w14:paraId="00E6B9D7" w14:textId="69030F3D" w:rsidR="006203FB" w:rsidRDefault="006203FB">
      <w:pPr>
        <w:pStyle w:val="FootnoteText"/>
      </w:pPr>
      <w:r>
        <w:rPr>
          <w:rStyle w:val="FootnoteReference"/>
        </w:rPr>
        <w:footnoteRef/>
      </w:r>
      <w:r>
        <w:t xml:space="preserve"> See, for example, </w:t>
      </w:r>
      <w:r w:rsidR="00F26252" w:rsidRPr="00F26252">
        <w:rPr>
          <w:i/>
          <w:iCs/>
        </w:rPr>
        <w:t>Waterson v Lloyd</w:t>
      </w:r>
      <w:r w:rsidR="00F26252">
        <w:t xml:space="preserve"> </w:t>
      </w:r>
      <w:r w:rsidR="00F26252" w:rsidRPr="00F26252">
        <w:t>[2013] EWHC 2201 (QB)</w:t>
      </w:r>
      <w:r w:rsidR="00F26252">
        <w:t xml:space="preserve"> (summary judgment on an “honest comment” defence where the parties were rival election candidates), </w:t>
      </w:r>
      <w:r w:rsidRPr="00450E83">
        <w:rPr>
          <w:i/>
          <w:iCs/>
        </w:rPr>
        <w:t>Greenstein v Campaign Against Antisemitism</w:t>
      </w:r>
      <w:r w:rsidRPr="00450E83">
        <w:t xml:space="preserve"> [2020] EWHC 2951 (QB)</w:t>
      </w:r>
      <w:r>
        <w:t>,</w:t>
      </w:r>
      <w:r w:rsidRPr="00450E83">
        <w:t> </w:t>
      </w:r>
      <w:r w:rsidRPr="00450E83">
        <w:rPr>
          <w:i/>
          <w:iCs/>
        </w:rPr>
        <w:t>Thompson v James</w:t>
      </w:r>
      <w:r w:rsidRPr="00450E83">
        <w:t xml:space="preserve"> [2013] EWHC 585 (QB) </w:t>
      </w:r>
      <w:r w:rsidR="00470F1E" w:rsidRPr="00470F1E">
        <w:t>and</w:t>
      </w:r>
      <w:r w:rsidR="00470F1E">
        <w:rPr>
          <w:i/>
          <w:iCs/>
        </w:rPr>
        <w:t xml:space="preserve"> </w:t>
      </w:r>
      <w:r w:rsidRPr="00450E83">
        <w:rPr>
          <w:i/>
          <w:iCs/>
        </w:rPr>
        <w:t>Iqbal v Geo TV Ltd</w:t>
      </w:r>
      <w:r w:rsidRPr="00450E83">
        <w:t xml:space="preserve"> [2024] EWCA Civ 1566</w:t>
      </w:r>
    </w:p>
  </w:footnote>
  <w:footnote w:id="38">
    <w:p w14:paraId="1FA58B06" w14:textId="58F8BBA1" w:rsidR="006203FB" w:rsidRDefault="006203FB">
      <w:pPr>
        <w:pStyle w:val="FootnoteText"/>
      </w:pPr>
      <w:r>
        <w:rPr>
          <w:rStyle w:val="FootnoteReference"/>
        </w:rPr>
        <w:footnoteRef/>
      </w:r>
      <w:r>
        <w:t xml:space="preserve"> S</w:t>
      </w:r>
      <w:r w:rsidR="00732006">
        <w:t>A at [</w:t>
      </w:r>
      <w:r>
        <w:t>97</w:t>
      </w:r>
      <w:r w:rsidR="00732006">
        <w:t>].</w:t>
      </w:r>
    </w:p>
  </w:footnote>
  <w:footnote w:id="39">
    <w:p w14:paraId="05496279" w14:textId="205872A6" w:rsidR="006203FB" w:rsidRDefault="006203FB">
      <w:pPr>
        <w:pStyle w:val="FootnoteText"/>
      </w:pPr>
      <w:r>
        <w:rPr>
          <w:rStyle w:val="FootnoteReference"/>
        </w:rPr>
        <w:footnoteRef/>
      </w:r>
      <w:r>
        <w:t xml:space="preserve"> See, for example, </w:t>
      </w:r>
      <w:r w:rsidRPr="00043D55">
        <w:rPr>
          <w:i/>
          <w:iCs/>
        </w:rPr>
        <w:t>Broadway Approvals v Odhams Press Ltd</w:t>
      </w:r>
      <w:r w:rsidRPr="00043D55">
        <w:t xml:space="preserve"> [1965] 1 WLR 805 at 814</w:t>
      </w:r>
      <w:r>
        <w:t>C</w:t>
      </w:r>
      <w:r w:rsidRPr="00043D55">
        <w:t xml:space="preserve"> and 825</w:t>
      </w:r>
      <w:r>
        <w:t xml:space="preserve">B, where a justification and fair comment were both advanced. See also Lord Diplock in </w:t>
      </w:r>
      <w:r w:rsidRPr="00776462">
        <w:rPr>
          <w:i/>
          <w:iCs/>
        </w:rPr>
        <w:t>Horrocks v Lowe</w:t>
      </w:r>
      <w:r w:rsidRPr="00776462">
        <w:t xml:space="preserve"> [1975] AC 135 at 152</w:t>
      </w:r>
      <w:r>
        <w:t xml:space="preserve"> in relation to a refusal to apologise and Lord Denning </w:t>
      </w:r>
      <w:r w:rsidRPr="00776462">
        <w:t>[1972] 1 WLR 16</w:t>
      </w:r>
      <w:r>
        <w:t xml:space="preserve">25 at 1630C. </w:t>
      </w:r>
    </w:p>
  </w:footnote>
  <w:footnote w:id="40">
    <w:p w14:paraId="589E9FD1" w14:textId="177A81C3" w:rsidR="006203FB" w:rsidRDefault="006203FB">
      <w:pPr>
        <w:pStyle w:val="FootnoteText"/>
      </w:pPr>
      <w:r>
        <w:rPr>
          <w:rStyle w:val="FootnoteReference"/>
        </w:rPr>
        <w:footnoteRef/>
      </w:r>
      <w:r>
        <w:t xml:space="preserve"> </w:t>
      </w:r>
      <w:r w:rsidR="00732006">
        <w:t>The letter is referred to in D’s WS at [29] and exhibited at pages 2-3.</w:t>
      </w:r>
    </w:p>
  </w:footnote>
  <w:footnote w:id="41">
    <w:p w14:paraId="6EB514EE" w14:textId="0757263E" w:rsidR="00CB0DA5" w:rsidRDefault="00CB0DA5">
      <w:pPr>
        <w:pStyle w:val="FootnoteText"/>
      </w:pPr>
      <w:r>
        <w:rPr>
          <w:rStyle w:val="FootnoteReference"/>
        </w:rPr>
        <w:footnoteRef/>
      </w:r>
      <w:r>
        <w:t xml:space="preserve"> </w:t>
      </w:r>
      <w:r w:rsidR="00732006">
        <w:t>See, for example, the Consultation Report June 2017 and Warby J’s address to the MLRC 26/9/17.</w:t>
      </w:r>
    </w:p>
  </w:footnote>
  <w:footnote w:id="42">
    <w:p w14:paraId="144B126F" w14:textId="53FC87E5" w:rsidR="00116F2A" w:rsidRDefault="00116F2A">
      <w:pPr>
        <w:pStyle w:val="FootnoteText"/>
      </w:pPr>
      <w:r>
        <w:rPr>
          <w:rStyle w:val="FootnoteReference"/>
        </w:rPr>
        <w:footnoteRef/>
      </w:r>
      <w:r>
        <w:t xml:space="preserve"> See the observations of May LJ in </w:t>
      </w:r>
      <w:r w:rsidRPr="00116F2A">
        <w:t>GKR Karate (UK) Ltd v Yorkshire Post Newspapers Ltd</w:t>
      </w:r>
      <w:r>
        <w:t xml:space="preserve"> </w:t>
      </w:r>
      <w:r w:rsidRPr="00116F2A">
        <w:t>[2000] EMLR 396</w:t>
      </w:r>
      <w:r>
        <w:t xml:space="preserve"> at [16] in the context of an application for a preliminary issue trial.</w:t>
      </w:r>
    </w:p>
  </w:footnote>
  <w:footnote w:id="43">
    <w:p w14:paraId="31AC50EF" w14:textId="7FA142FE" w:rsidR="00161CCE" w:rsidRDefault="00161CCE">
      <w:pPr>
        <w:pStyle w:val="FootnoteText"/>
      </w:pPr>
      <w:r>
        <w:rPr>
          <w:rStyle w:val="FootnoteReference"/>
        </w:rPr>
        <w:footnoteRef/>
      </w:r>
      <w:r>
        <w:t xml:space="preserve"> </w:t>
      </w:r>
      <w:r w:rsidR="00675F4D">
        <w:t>See D’s submissions of 20/2/25 at [3] and pages 24-25 and 35-41 of the accompanying bundle.</w:t>
      </w:r>
    </w:p>
  </w:footnote>
  <w:footnote w:id="44">
    <w:p w14:paraId="212B3808" w14:textId="77777777" w:rsidR="003F7C0F" w:rsidRDefault="003F7C0F" w:rsidP="003F7C0F">
      <w:pPr>
        <w:pStyle w:val="FootnoteText"/>
      </w:pPr>
      <w:r>
        <w:rPr>
          <w:rStyle w:val="FootnoteReference"/>
        </w:rPr>
        <w:footnoteRef/>
      </w:r>
      <w:r>
        <w:t xml:space="preserve"> See C’s submissions of 21/2 at [49]-[50].</w:t>
      </w:r>
    </w:p>
  </w:footnote>
  <w:footnote w:id="45">
    <w:p w14:paraId="34B06C8C" w14:textId="335E83E9" w:rsidR="003077F6" w:rsidRDefault="003077F6">
      <w:pPr>
        <w:pStyle w:val="FootnoteText"/>
      </w:pPr>
      <w:r>
        <w:rPr>
          <w:rStyle w:val="FootnoteReference"/>
        </w:rPr>
        <w:footnoteRef/>
      </w:r>
      <w:r>
        <w:t xml:space="preserve"> [8]</w:t>
      </w:r>
      <w:r w:rsidR="00675F4D">
        <w:t xml:space="preserve"> of D’s draft order at page 5 of the bundle accompanying the 20/2 submissions.</w:t>
      </w:r>
    </w:p>
  </w:footnote>
  <w:footnote w:id="46">
    <w:p w14:paraId="053EF346" w14:textId="0A18B24A" w:rsidR="00EA613B" w:rsidRDefault="00EA613B" w:rsidP="00EA613B">
      <w:pPr>
        <w:pStyle w:val="FootnoteText"/>
      </w:pPr>
      <w:r>
        <w:rPr>
          <w:rStyle w:val="FootnoteReference"/>
        </w:rPr>
        <w:footnoteRef/>
      </w:r>
      <w:r>
        <w:t xml:space="preserve"> </w:t>
      </w:r>
      <w:r w:rsidR="00675F4D">
        <w:t>See [2] of the Reasons for the order of 8/4/25 and the Judge’s clerk’s email of 9/4 at 15:13. See also the emails of D’s counsel at 12:47 and 16:28.</w:t>
      </w:r>
    </w:p>
  </w:footnote>
  <w:footnote w:id="47">
    <w:p w14:paraId="08BDDC27" w14:textId="563AA031" w:rsidR="006203FB" w:rsidRDefault="006203FB">
      <w:pPr>
        <w:pStyle w:val="FootnoteText"/>
      </w:pPr>
      <w:r>
        <w:rPr>
          <w:rStyle w:val="FootnoteReference"/>
        </w:rPr>
        <w:footnoteRef/>
      </w:r>
      <w:r>
        <w:t xml:space="preserve"> </w:t>
      </w:r>
      <w:r w:rsidR="00675F4D">
        <w:t xml:space="preserve">See email of 9/4 above. </w:t>
      </w:r>
    </w:p>
  </w:footnote>
  <w:footnote w:id="48">
    <w:p w14:paraId="47C16B4C" w14:textId="2B66EFE2" w:rsidR="00B3500F" w:rsidRDefault="00B3500F">
      <w:pPr>
        <w:pStyle w:val="FootnoteText"/>
      </w:pPr>
      <w:r>
        <w:rPr>
          <w:rStyle w:val="FootnoteReference"/>
        </w:rPr>
        <w:footnoteRef/>
      </w:r>
      <w:r>
        <w:t xml:space="preserve"> See</w:t>
      </w:r>
      <w:r w:rsidR="00D07935">
        <w:t>, for example,</w:t>
      </w:r>
      <w:r>
        <w:t xml:space="preserve"> </w:t>
      </w:r>
      <w:r w:rsidR="00D07935" w:rsidRPr="00D07935">
        <w:rPr>
          <w:i/>
          <w:iCs/>
        </w:rPr>
        <w:t>Roache v News Group Newspapers</w:t>
      </w:r>
      <w:r w:rsidR="00D07935" w:rsidRPr="00D07935">
        <w:t xml:space="preserve"> [1998] EMLR 161</w:t>
      </w:r>
      <w:r w:rsidR="00D07935">
        <w:t xml:space="preserve"> at 182, cited in the White Book Notes to [51.1.14] in relation to the exercise of a discretion: “</w:t>
      </w:r>
      <w:r w:rsidRPr="00D07935">
        <w:rPr>
          <w:i/>
          <w:iCs/>
        </w:rPr>
        <w:t>the judge has either erred in principle in his approach, or has left out of account, or taken into account, some feature that he should, or should not, have considered, or that his decision is wholly wrong because the court is forced to the conclusion that he has not balanced the various factors in the scale.</w:t>
      </w:r>
      <w:r w:rsidRPr="00B3500F">
        <w:t>”</w:t>
      </w:r>
      <w:r w:rsidR="00D0793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5C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10"/>
    <w:rsid w:val="000029B6"/>
    <w:rsid w:val="000073A7"/>
    <w:rsid w:val="00010725"/>
    <w:rsid w:val="00012B99"/>
    <w:rsid w:val="000164BA"/>
    <w:rsid w:val="000318C7"/>
    <w:rsid w:val="00041F49"/>
    <w:rsid w:val="00043727"/>
    <w:rsid w:val="00043D55"/>
    <w:rsid w:val="00044A2A"/>
    <w:rsid w:val="00053CEB"/>
    <w:rsid w:val="00056FD2"/>
    <w:rsid w:val="00061F27"/>
    <w:rsid w:val="0006370D"/>
    <w:rsid w:val="00063B68"/>
    <w:rsid w:val="00070273"/>
    <w:rsid w:val="00070605"/>
    <w:rsid w:val="000720FB"/>
    <w:rsid w:val="00074D54"/>
    <w:rsid w:val="000801F3"/>
    <w:rsid w:val="00081CA1"/>
    <w:rsid w:val="00086F40"/>
    <w:rsid w:val="00087453"/>
    <w:rsid w:val="0009209E"/>
    <w:rsid w:val="00094C30"/>
    <w:rsid w:val="00095778"/>
    <w:rsid w:val="00096979"/>
    <w:rsid w:val="000A0067"/>
    <w:rsid w:val="000B009F"/>
    <w:rsid w:val="000B07F2"/>
    <w:rsid w:val="000B2034"/>
    <w:rsid w:val="000B3595"/>
    <w:rsid w:val="000B4A48"/>
    <w:rsid w:val="000C03A2"/>
    <w:rsid w:val="000C0D13"/>
    <w:rsid w:val="000C52DA"/>
    <w:rsid w:val="000C763F"/>
    <w:rsid w:val="000D7F0F"/>
    <w:rsid w:val="000E4ADF"/>
    <w:rsid w:val="000E639F"/>
    <w:rsid w:val="00104830"/>
    <w:rsid w:val="001056C1"/>
    <w:rsid w:val="00107322"/>
    <w:rsid w:val="00110657"/>
    <w:rsid w:val="00116F2A"/>
    <w:rsid w:val="00117BA4"/>
    <w:rsid w:val="00121BDD"/>
    <w:rsid w:val="00126150"/>
    <w:rsid w:val="00131F1A"/>
    <w:rsid w:val="00133FDB"/>
    <w:rsid w:val="001348FF"/>
    <w:rsid w:val="00135733"/>
    <w:rsid w:val="00137F22"/>
    <w:rsid w:val="0014018A"/>
    <w:rsid w:val="001410BF"/>
    <w:rsid w:val="00143434"/>
    <w:rsid w:val="0015117A"/>
    <w:rsid w:val="00161BFE"/>
    <w:rsid w:val="00161CCE"/>
    <w:rsid w:val="001713E7"/>
    <w:rsid w:val="001716BB"/>
    <w:rsid w:val="00172B87"/>
    <w:rsid w:val="001826E6"/>
    <w:rsid w:val="00184EBF"/>
    <w:rsid w:val="0018508B"/>
    <w:rsid w:val="0018571A"/>
    <w:rsid w:val="001903A2"/>
    <w:rsid w:val="00191B2B"/>
    <w:rsid w:val="00192A8D"/>
    <w:rsid w:val="00196570"/>
    <w:rsid w:val="001A1A57"/>
    <w:rsid w:val="001A3D58"/>
    <w:rsid w:val="001A4B6D"/>
    <w:rsid w:val="001A58D1"/>
    <w:rsid w:val="001A5EEB"/>
    <w:rsid w:val="001A6E0A"/>
    <w:rsid w:val="001B1030"/>
    <w:rsid w:val="001B3049"/>
    <w:rsid w:val="001B30EE"/>
    <w:rsid w:val="001B510C"/>
    <w:rsid w:val="001C22AA"/>
    <w:rsid w:val="001C25E9"/>
    <w:rsid w:val="001C34EA"/>
    <w:rsid w:val="001C70FF"/>
    <w:rsid w:val="001D27E6"/>
    <w:rsid w:val="001D439A"/>
    <w:rsid w:val="001D71F5"/>
    <w:rsid w:val="001D7F55"/>
    <w:rsid w:val="001E061B"/>
    <w:rsid w:val="001E066A"/>
    <w:rsid w:val="001E4A73"/>
    <w:rsid w:val="001F37E3"/>
    <w:rsid w:val="00200730"/>
    <w:rsid w:val="00203B3A"/>
    <w:rsid w:val="00205488"/>
    <w:rsid w:val="0020702A"/>
    <w:rsid w:val="002075EB"/>
    <w:rsid w:val="0021312B"/>
    <w:rsid w:val="00216694"/>
    <w:rsid w:val="00216F8F"/>
    <w:rsid w:val="00232DF0"/>
    <w:rsid w:val="002347B4"/>
    <w:rsid w:val="002373F7"/>
    <w:rsid w:val="0024097F"/>
    <w:rsid w:val="00243EF0"/>
    <w:rsid w:val="002448F2"/>
    <w:rsid w:val="00255346"/>
    <w:rsid w:val="00256A05"/>
    <w:rsid w:val="00256A71"/>
    <w:rsid w:val="0026035B"/>
    <w:rsid w:val="002624E0"/>
    <w:rsid w:val="002625B4"/>
    <w:rsid w:val="00264002"/>
    <w:rsid w:val="002769F6"/>
    <w:rsid w:val="00277593"/>
    <w:rsid w:val="00281D39"/>
    <w:rsid w:val="00287EEB"/>
    <w:rsid w:val="002946DE"/>
    <w:rsid w:val="002960BB"/>
    <w:rsid w:val="00297670"/>
    <w:rsid w:val="00297682"/>
    <w:rsid w:val="002A1546"/>
    <w:rsid w:val="002A2B1F"/>
    <w:rsid w:val="002A2E87"/>
    <w:rsid w:val="002A39D5"/>
    <w:rsid w:val="002A6A40"/>
    <w:rsid w:val="002B36F4"/>
    <w:rsid w:val="002B4F0D"/>
    <w:rsid w:val="002C1FD7"/>
    <w:rsid w:val="002C413A"/>
    <w:rsid w:val="002C695B"/>
    <w:rsid w:val="002D08E2"/>
    <w:rsid w:val="002E0635"/>
    <w:rsid w:val="002E0D28"/>
    <w:rsid w:val="002E66B0"/>
    <w:rsid w:val="002E7D4D"/>
    <w:rsid w:val="002F0B79"/>
    <w:rsid w:val="002F3948"/>
    <w:rsid w:val="002F4821"/>
    <w:rsid w:val="002F4A2B"/>
    <w:rsid w:val="002F5C89"/>
    <w:rsid w:val="002F6E79"/>
    <w:rsid w:val="003013C6"/>
    <w:rsid w:val="003077F6"/>
    <w:rsid w:val="00313F03"/>
    <w:rsid w:val="0031781D"/>
    <w:rsid w:val="00317839"/>
    <w:rsid w:val="0032133F"/>
    <w:rsid w:val="00322F60"/>
    <w:rsid w:val="00325A7C"/>
    <w:rsid w:val="0032735C"/>
    <w:rsid w:val="00330CF9"/>
    <w:rsid w:val="003370F3"/>
    <w:rsid w:val="003422FA"/>
    <w:rsid w:val="003460BD"/>
    <w:rsid w:val="0035338D"/>
    <w:rsid w:val="003615C9"/>
    <w:rsid w:val="00362533"/>
    <w:rsid w:val="00365283"/>
    <w:rsid w:val="003721B9"/>
    <w:rsid w:val="003747A0"/>
    <w:rsid w:val="00375AFB"/>
    <w:rsid w:val="00381871"/>
    <w:rsid w:val="003828B5"/>
    <w:rsid w:val="0039037C"/>
    <w:rsid w:val="00392822"/>
    <w:rsid w:val="003956A9"/>
    <w:rsid w:val="00395A5D"/>
    <w:rsid w:val="003A049F"/>
    <w:rsid w:val="003A3ED2"/>
    <w:rsid w:val="003A4C1E"/>
    <w:rsid w:val="003A65A6"/>
    <w:rsid w:val="003B6769"/>
    <w:rsid w:val="003B708D"/>
    <w:rsid w:val="003B7B51"/>
    <w:rsid w:val="003C2026"/>
    <w:rsid w:val="003C5E70"/>
    <w:rsid w:val="003D26ED"/>
    <w:rsid w:val="003E2587"/>
    <w:rsid w:val="003E5A98"/>
    <w:rsid w:val="003E6944"/>
    <w:rsid w:val="003E793A"/>
    <w:rsid w:val="003F0A7B"/>
    <w:rsid w:val="003F2BAC"/>
    <w:rsid w:val="003F478C"/>
    <w:rsid w:val="003F7C0F"/>
    <w:rsid w:val="004009EE"/>
    <w:rsid w:val="00402CFA"/>
    <w:rsid w:val="00403453"/>
    <w:rsid w:val="00405947"/>
    <w:rsid w:val="004145C7"/>
    <w:rsid w:val="00414AA4"/>
    <w:rsid w:val="00416A4C"/>
    <w:rsid w:val="004200F2"/>
    <w:rsid w:val="004255D5"/>
    <w:rsid w:val="0042668B"/>
    <w:rsid w:val="00431835"/>
    <w:rsid w:val="0043505E"/>
    <w:rsid w:val="00435311"/>
    <w:rsid w:val="00441225"/>
    <w:rsid w:val="00441EA8"/>
    <w:rsid w:val="00443F03"/>
    <w:rsid w:val="00450441"/>
    <w:rsid w:val="00450BBB"/>
    <w:rsid w:val="00450E83"/>
    <w:rsid w:val="00451269"/>
    <w:rsid w:val="00451C5A"/>
    <w:rsid w:val="00453137"/>
    <w:rsid w:val="004536DD"/>
    <w:rsid w:val="0045445F"/>
    <w:rsid w:val="004634C6"/>
    <w:rsid w:val="0046404C"/>
    <w:rsid w:val="004664F0"/>
    <w:rsid w:val="00470F1E"/>
    <w:rsid w:val="004735CC"/>
    <w:rsid w:val="00477BFB"/>
    <w:rsid w:val="004825B7"/>
    <w:rsid w:val="00491D63"/>
    <w:rsid w:val="00496411"/>
    <w:rsid w:val="004A2FCF"/>
    <w:rsid w:val="004A4232"/>
    <w:rsid w:val="004A48FB"/>
    <w:rsid w:val="004B012B"/>
    <w:rsid w:val="004B0646"/>
    <w:rsid w:val="004B3F45"/>
    <w:rsid w:val="004B4759"/>
    <w:rsid w:val="004B65D1"/>
    <w:rsid w:val="004B7F8F"/>
    <w:rsid w:val="004C1E3B"/>
    <w:rsid w:val="004D378B"/>
    <w:rsid w:val="004D5921"/>
    <w:rsid w:val="004E2FC8"/>
    <w:rsid w:val="004E36CC"/>
    <w:rsid w:val="004E58EA"/>
    <w:rsid w:val="004F0C88"/>
    <w:rsid w:val="004F4DDE"/>
    <w:rsid w:val="004F7122"/>
    <w:rsid w:val="00501307"/>
    <w:rsid w:val="00501647"/>
    <w:rsid w:val="0050182E"/>
    <w:rsid w:val="00504096"/>
    <w:rsid w:val="00507373"/>
    <w:rsid w:val="00511EB6"/>
    <w:rsid w:val="00513677"/>
    <w:rsid w:val="00513766"/>
    <w:rsid w:val="00535FA2"/>
    <w:rsid w:val="00535FBB"/>
    <w:rsid w:val="005437F3"/>
    <w:rsid w:val="005452F8"/>
    <w:rsid w:val="00552402"/>
    <w:rsid w:val="0055374F"/>
    <w:rsid w:val="00555EA1"/>
    <w:rsid w:val="00563737"/>
    <w:rsid w:val="00566C4B"/>
    <w:rsid w:val="00572075"/>
    <w:rsid w:val="00576CC1"/>
    <w:rsid w:val="00576FB5"/>
    <w:rsid w:val="005839F3"/>
    <w:rsid w:val="00584674"/>
    <w:rsid w:val="005905AE"/>
    <w:rsid w:val="00591A33"/>
    <w:rsid w:val="0059202B"/>
    <w:rsid w:val="0059597E"/>
    <w:rsid w:val="00597483"/>
    <w:rsid w:val="005A1839"/>
    <w:rsid w:val="005A5ABF"/>
    <w:rsid w:val="005B45DE"/>
    <w:rsid w:val="005C098D"/>
    <w:rsid w:val="005C1B27"/>
    <w:rsid w:val="005D12C6"/>
    <w:rsid w:val="005D4D61"/>
    <w:rsid w:val="005D7102"/>
    <w:rsid w:val="005E10BF"/>
    <w:rsid w:val="005E1A2B"/>
    <w:rsid w:val="005E3F03"/>
    <w:rsid w:val="005E44DE"/>
    <w:rsid w:val="005E489F"/>
    <w:rsid w:val="005E7C3B"/>
    <w:rsid w:val="005F0941"/>
    <w:rsid w:val="005F3002"/>
    <w:rsid w:val="005F6086"/>
    <w:rsid w:val="005F7352"/>
    <w:rsid w:val="0060191E"/>
    <w:rsid w:val="006060E0"/>
    <w:rsid w:val="0061743D"/>
    <w:rsid w:val="0061791C"/>
    <w:rsid w:val="00617E7B"/>
    <w:rsid w:val="006203FB"/>
    <w:rsid w:val="00620D1C"/>
    <w:rsid w:val="00622C49"/>
    <w:rsid w:val="00626C44"/>
    <w:rsid w:val="00631397"/>
    <w:rsid w:val="006321A7"/>
    <w:rsid w:val="0063356B"/>
    <w:rsid w:val="0064562F"/>
    <w:rsid w:val="00645D6A"/>
    <w:rsid w:val="00647301"/>
    <w:rsid w:val="00651719"/>
    <w:rsid w:val="00660F38"/>
    <w:rsid w:val="00663640"/>
    <w:rsid w:val="00663D2E"/>
    <w:rsid w:val="00670FFF"/>
    <w:rsid w:val="006742D3"/>
    <w:rsid w:val="00674830"/>
    <w:rsid w:val="00675266"/>
    <w:rsid w:val="00675B86"/>
    <w:rsid w:val="00675F4D"/>
    <w:rsid w:val="00677FC9"/>
    <w:rsid w:val="00680378"/>
    <w:rsid w:val="0068129E"/>
    <w:rsid w:val="00687F36"/>
    <w:rsid w:val="006A1E35"/>
    <w:rsid w:val="006A5EA1"/>
    <w:rsid w:val="006B3523"/>
    <w:rsid w:val="006B5953"/>
    <w:rsid w:val="006C7145"/>
    <w:rsid w:val="006D395D"/>
    <w:rsid w:val="006D40EE"/>
    <w:rsid w:val="006D42DE"/>
    <w:rsid w:val="006D70DF"/>
    <w:rsid w:val="006E1779"/>
    <w:rsid w:val="006E69EE"/>
    <w:rsid w:val="006F15F5"/>
    <w:rsid w:val="006F161D"/>
    <w:rsid w:val="006F33A0"/>
    <w:rsid w:val="006F63FB"/>
    <w:rsid w:val="007049F1"/>
    <w:rsid w:val="0071467C"/>
    <w:rsid w:val="00714D38"/>
    <w:rsid w:val="0071790A"/>
    <w:rsid w:val="007211D6"/>
    <w:rsid w:val="00722954"/>
    <w:rsid w:val="0072318A"/>
    <w:rsid w:val="00730755"/>
    <w:rsid w:val="00731177"/>
    <w:rsid w:val="00732006"/>
    <w:rsid w:val="007357EE"/>
    <w:rsid w:val="00737E38"/>
    <w:rsid w:val="00740886"/>
    <w:rsid w:val="00740CFB"/>
    <w:rsid w:val="00743065"/>
    <w:rsid w:val="0074310F"/>
    <w:rsid w:val="00745020"/>
    <w:rsid w:val="00761DD5"/>
    <w:rsid w:val="00762C24"/>
    <w:rsid w:val="007674F7"/>
    <w:rsid w:val="00771D5C"/>
    <w:rsid w:val="00776462"/>
    <w:rsid w:val="00777E62"/>
    <w:rsid w:val="00782384"/>
    <w:rsid w:val="007839B7"/>
    <w:rsid w:val="00786742"/>
    <w:rsid w:val="007916CE"/>
    <w:rsid w:val="00792716"/>
    <w:rsid w:val="007937AE"/>
    <w:rsid w:val="00794BC2"/>
    <w:rsid w:val="0079562E"/>
    <w:rsid w:val="007A2C3B"/>
    <w:rsid w:val="007A32A4"/>
    <w:rsid w:val="007A344A"/>
    <w:rsid w:val="007A3B6B"/>
    <w:rsid w:val="007A46CC"/>
    <w:rsid w:val="007A5E48"/>
    <w:rsid w:val="007A5EB4"/>
    <w:rsid w:val="007B09A2"/>
    <w:rsid w:val="007C20A5"/>
    <w:rsid w:val="007C4A00"/>
    <w:rsid w:val="007C7776"/>
    <w:rsid w:val="007E0EA8"/>
    <w:rsid w:val="007E63BF"/>
    <w:rsid w:val="007F0876"/>
    <w:rsid w:val="007F09F8"/>
    <w:rsid w:val="007F1A95"/>
    <w:rsid w:val="007F2EFB"/>
    <w:rsid w:val="007F79B2"/>
    <w:rsid w:val="007F7D97"/>
    <w:rsid w:val="00800C9B"/>
    <w:rsid w:val="00800D62"/>
    <w:rsid w:val="00810C8C"/>
    <w:rsid w:val="00815163"/>
    <w:rsid w:val="00815F0C"/>
    <w:rsid w:val="008167CD"/>
    <w:rsid w:val="00821911"/>
    <w:rsid w:val="008223DA"/>
    <w:rsid w:val="0082389A"/>
    <w:rsid w:val="00830B2E"/>
    <w:rsid w:val="00831E07"/>
    <w:rsid w:val="00835BEB"/>
    <w:rsid w:val="00837496"/>
    <w:rsid w:val="008537CB"/>
    <w:rsid w:val="0085452C"/>
    <w:rsid w:val="00854E61"/>
    <w:rsid w:val="00860997"/>
    <w:rsid w:val="00867A95"/>
    <w:rsid w:val="00871692"/>
    <w:rsid w:val="00872E3A"/>
    <w:rsid w:val="00875BBD"/>
    <w:rsid w:val="0087688A"/>
    <w:rsid w:val="008770A4"/>
    <w:rsid w:val="00884A0A"/>
    <w:rsid w:val="00884DB8"/>
    <w:rsid w:val="0088646E"/>
    <w:rsid w:val="0088778B"/>
    <w:rsid w:val="008966A7"/>
    <w:rsid w:val="008978E3"/>
    <w:rsid w:val="00897AD0"/>
    <w:rsid w:val="00897C66"/>
    <w:rsid w:val="008A378E"/>
    <w:rsid w:val="008A5554"/>
    <w:rsid w:val="008B1C30"/>
    <w:rsid w:val="008B3D16"/>
    <w:rsid w:val="008B5E9C"/>
    <w:rsid w:val="008B6161"/>
    <w:rsid w:val="008B72D5"/>
    <w:rsid w:val="008C09EB"/>
    <w:rsid w:val="008C1948"/>
    <w:rsid w:val="008C5607"/>
    <w:rsid w:val="008D398A"/>
    <w:rsid w:val="008D3AE5"/>
    <w:rsid w:val="008E1C25"/>
    <w:rsid w:val="008F3B79"/>
    <w:rsid w:val="00900E2F"/>
    <w:rsid w:val="00901E03"/>
    <w:rsid w:val="009036D4"/>
    <w:rsid w:val="009108FC"/>
    <w:rsid w:val="00910DDA"/>
    <w:rsid w:val="00911D80"/>
    <w:rsid w:val="009132F2"/>
    <w:rsid w:val="00914E54"/>
    <w:rsid w:val="00916F0B"/>
    <w:rsid w:val="00917B39"/>
    <w:rsid w:val="00934D29"/>
    <w:rsid w:val="009402CC"/>
    <w:rsid w:val="009431DF"/>
    <w:rsid w:val="00944A48"/>
    <w:rsid w:val="009451AF"/>
    <w:rsid w:val="00951E79"/>
    <w:rsid w:val="00955A00"/>
    <w:rsid w:val="00957E1A"/>
    <w:rsid w:val="00964136"/>
    <w:rsid w:val="0096444F"/>
    <w:rsid w:val="00976172"/>
    <w:rsid w:val="00977F84"/>
    <w:rsid w:val="00980CF3"/>
    <w:rsid w:val="00982E93"/>
    <w:rsid w:val="00983B74"/>
    <w:rsid w:val="00984640"/>
    <w:rsid w:val="009848D4"/>
    <w:rsid w:val="00991E4A"/>
    <w:rsid w:val="00992A21"/>
    <w:rsid w:val="009A35AE"/>
    <w:rsid w:val="009A5649"/>
    <w:rsid w:val="009A5728"/>
    <w:rsid w:val="009A6027"/>
    <w:rsid w:val="009B0A50"/>
    <w:rsid w:val="009B2E08"/>
    <w:rsid w:val="009C02B2"/>
    <w:rsid w:val="009C09F0"/>
    <w:rsid w:val="009C0EE3"/>
    <w:rsid w:val="009C2EA4"/>
    <w:rsid w:val="009D360D"/>
    <w:rsid w:val="009D40AB"/>
    <w:rsid w:val="009D5DAD"/>
    <w:rsid w:val="009E0493"/>
    <w:rsid w:val="009E1957"/>
    <w:rsid w:val="009E1D51"/>
    <w:rsid w:val="009E615C"/>
    <w:rsid w:val="00A02BD9"/>
    <w:rsid w:val="00A03839"/>
    <w:rsid w:val="00A04483"/>
    <w:rsid w:val="00A05327"/>
    <w:rsid w:val="00A07136"/>
    <w:rsid w:val="00A13B0C"/>
    <w:rsid w:val="00A167E5"/>
    <w:rsid w:val="00A21EF0"/>
    <w:rsid w:val="00A22EE3"/>
    <w:rsid w:val="00A239EC"/>
    <w:rsid w:val="00A31276"/>
    <w:rsid w:val="00A340E5"/>
    <w:rsid w:val="00A34A0B"/>
    <w:rsid w:val="00A369BA"/>
    <w:rsid w:val="00A369C7"/>
    <w:rsid w:val="00A44D16"/>
    <w:rsid w:val="00A51EDE"/>
    <w:rsid w:val="00A531E6"/>
    <w:rsid w:val="00A54973"/>
    <w:rsid w:val="00A552E3"/>
    <w:rsid w:val="00A6205D"/>
    <w:rsid w:val="00A64128"/>
    <w:rsid w:val="00A64CD1"/>
    <w:rsid w:val="00A66B8E"/>
    <w:rsid w:val="00A715C9"/>
    <w:rsid w:val="00A72784"/>
    <w:rsid w:val="00A77D66"/>
    <w:rsid w:val="00A80775"/>
    <w:rsid w:val="00A82CDF"/>
    <w:rsid w:val="00A84E3B"/>
    <w:rsid w:val="00A85000"/>
    <w:rsid w:val="00A9166A"/>
    <w:rsid w:val="00A920A5"/>
    <w:rsid w:val="00A9717A"/>
    <w:rsid w:val="00A97374"/>
    <w:rsid w:val="00AA0C39"/>
    <w:rsid w:val="00AA42AB"/>
    <w:rsid w:val="00AB00FA"/>
    <w:rsid w:val="00AB2048"/>
    <w:rsid w:val="00AB5850"/>
    <w:rsid w:val="00AB617E"/>
    <w:rsid w:val="00AC016C"/>
    <w:rsid w:val="00AC0421"/>
    <w:rsid w:val="00AD2461"/>
    <w:rsid w:val="00AD2A16"/>
    <w:rsid w:val="00AD3FF2"/>
    <w:rsid w:val="00AE1D51"/>
    <w:rsid w:val="00AF0B06"/>
    <w:rsid w:val="00AF138A"/>
    <w:rsid w:val="00AF2A99"/>
    <w:rsid w:val="00AF3311"/>
    <w:rsid w:val="00B01395"/>
    <w:rsid w:val="00B03FC3"/>
    <w:rsid w:val="00B07CB1"/>
    <w:rsid w:val="00B11AB7"/>
    <w:rsid w:val="00B12FF2"/>
    <w:rsid w:val="00B16078"/>
    <w:rsid w:val="00B217A6"/>
    <w:rsid w:val="00B22B84"/>
    <w:rsid w:val="00B32675"/>
    <w:rsid w:val="00B3500F"/>
    <w:rsid w:val="00B3600F"/>
    <w:rsid w:val="00B43E90"/>
    <w:rsid w:val="00B47F3F"/>
    <w:rsid w:val="00B56764"/>
    <w:rsid w:val="00B60385"/>
    <w:rsid w:val="00B611D9"/>
    <w:rsid w:val="00B63B58"/>
    <w:rsid w:val="00B657A7"/>
    <w:rsid w:val="00B701FC"/>
    <w:rsid w:val="00B74E46"/>
    <w:rsid w:val="00B81B96"/>
    <w:rsid w:val="00B820C4"/>
    <w:rsid w:val="00B87B70"/>
    <w:rsid w:val="00B87B83"/>
    <w:rsid w:val="00B9432B"/>
    <w:rsid w:val="00B9593E"/>
    <w:rsid w:val="00B9694D"/>
    <w:rsid w:val="00B96DC6"/>
    <w:rsid w:val="00B97B12"/>
    <w:rsid w:val="00BB24AE"/>
    <w:rsid w:val="00BB7645"/>
    <w:rsid w:val="00BC0B10"/>
    <w:rsid w:val="00BC389E"/>
    <w:rsid w:val="00BC6A21"/>
    <w:rsid w:val="00BD4D86"/>
    <w:rsid w:val="00BE0529"/>
    <w:rsid w:val="00BE17AF"/>
    <w:rsid w:val="00BF23B7"/>
    <w:rsid w:val="00BF253D"/>
    <w:rsid w:val="00C00EF5"/>
    <w:rsid w:val="00C01447"/>
    <w:rsid w:val="00C03B22"/>
    <w:rsid w:val="00C05CC8"/>
    <w:rsid w:val="00C11D6E"/>
    <w:rsid w:val="00C14D9A"/>
    <w:rsid w:val="00C155E3"/>
    <w:rsid w:val="00C168BB"/>
    <w:rsid w:val="00C20567"/>
    <w:rsid w:val="00C22647"/>
    <w:rsid w:val="00C26129"/>
    <w:rsid w:val="00C26C30"/>
    <w:rsid w:val="00C320F6"/>
    <w:rsid w:val="00C3311E"/>
    <w:rsid w:val="00C34DD0"/>
    <w:rsid w:val="00C42DC5"/>
    <w:rsid w:val="00C474EC"/>
    <w:rsid w:val="00C50302"/>
    <w:rsid w:val="00C50C2C"/>
    <w:rsid w:val="00C527B8"/>
    <w:rsid w:val="00C554F4"/>
    <w:rsid w:val="00C55DB1"/>
    <w:rsid w:val="00C66481"/>
    <w:rsid w:val="00C66F0C"/>
    <w:rsid w:val="00C7122D"/>
    <w:rsid w:val="00C74FC1"/>
    <w:rsid w:val="00C81326"/>
    <w:rsid w:val="00CA1D37"/>
    <w:rsid w:val="00CA69D5"/>
    <w:rsid w:val="00CA7540"/>
    <w:rsid w:val="00CB0DA5"/>
    <w:rsid w:val="00CB0DD7"/>
    <w:rsid w:val="00CB10F8"/>
    <w:rsid w:val="00CB1B8F"/>
    <w:rsid w:val="00CB49AB"/>
    <w:rsid w:val="00CC6295"/>
    <w:rsid w:val="00CD1A7C"/>
    <w:rsid w:val="00CD66CE"/>
    <w:rsid w:val="00CE0481"/>
    <w:rsid w:val="00CE3076"/>
    <w:rsid w:val="00CE573D"/>
    <w:rsid w:val="00CE7E2F"/>
    <w:rsid w:val="00CF3FAD"/>
    <w:rsid w:val="00CF78FB"/>
    <w:rsid w:val="00D0031C"/>
    <w:rsid w:val="00D021AC"/>
    <w:rsid w:val="00D06BEF"/>
    <w:rsid w:val="00D07935"/>
    <w:rsid w:val="00D116AF"/>
    <w:rsid w:val="00D12A30"/>
    <w:rsid w:val="00D14BFD"/>
    <w:rsid w:val="00D26573"/>
    <w:rsid w:val="00D328B5"/>
    <w:rsid w:val="00D37478"/>
    <w:rsid w:val="00D42201"/>
    <w:rsid w:val="00D43F53"/>
    <w:rsid w:val="00D45FD4"/>
    <w:rsid w:val="00D474D9"/>
    <w:rsid w:val="00D534BE"/>
    <w:rsid w:val="00D53A1C"/>
    <w:rsid w:val="00D6269C"/>
    <w:rsid w:val="00D62FE3"/>
    <w:rsid w:val="00D65938"/>
    <w:rsid w:val="00D8057F"/>
    <w:rsid w:val="00D93122"/>
    <w:rsid w:val="00D93775"/>
    <w:rsid w:val="00D93A04"/>
    <w:rsid w:val="00D93D70"/>
    <w:rsid w:val="00D9510B"/>
    <w:rsid w:val="00DA080A"/>
    <w:rsid w:val="00DA3BEB"/>
    <w:rsid w:val="00DA43FD"/>
    <w:rsid w:val="00DC319B"/>
    <w:rsid w:val="00DC4623"/>
    <w:rsid w:val="00DC69AE"/>
    <w:rsid w:val="00DC6C64"/>
    <w:rsid w:val="00DD2F0D"/>
    <w:rsid w:val="00DD4169"/>
    <w:rsid w:val="00DD6EA1"/>
    <w:rsid w:val="00DE3D8D"/>
    <w:rsid w:val="00DE54D4"/>
    <w:rsid w:val="00DE7A7A"/>
    <w:rsid w:val="00DF3943"/>
    <w:rsid w:val="00DF63F6"/>
    <w:rsid w:val="00DF72A9"/>
    <w:rsid w:val="00E01091"/>
    <w:rsid w:val="00E06FF4"/>
    <w:rsid w:val="00E07E3B"/>
    <w:rsid w:val="00E1073C"/>
    <w:rsid w:val="00E10856"/>
    <w:rsid w:val="00E12197"/>
    <w:rsid w:val="00E2460B"/>
    <w:rsid w:val="00E31FA2"/>
    <w:rsid w:val="00E336D2"/>
    <w:rsid w:val="00E33E2B"/>
    <w:rsid w:val="00E34517"/>
    <w:rsid w:val="00E37087"/>
    <w:rsid w:val="00E37FC9"/>
    <w:rsid w:val="00E47E78"/>
    <w:rsid w:val="00E6474C"/>
    <w:rsid w:val="00E677CF"/>
    <w:rsid w:val="00E84C69"/>
    <w:rsid w:val="00E853E6"/>
    <w:rsid w:val="00E85ABA"/>
    <w:rsid w:val="00E865CB"/>
    <w:rsid w:val="00E86A83"/>
    <w:rsid w:val="00E87D9B"/>
    <w:rsid w:val="00E9098A"/>
    <w:rsid w:val="00EA0273"/>
    <w:rsid w:val="00EA07A2"/>
    <w:rsid w:val="00EA34F2"/>
    <w:rsid w:val="00EA613B"/>
    <w:rsid w:val="00EB25CC"/>
    <w:rsid w:val="00EB5F73"/>
    <w:rsid w:val="00EB6D18"/>
    <w:rsid w:val="00EC472B"/>
    <w:rsid w:val="00ED08B6"/>
    <w:rsid w:val="00ED2D39"/>
    <w:rsid w:val="00ED5981"/>
    <w:rsid w:val="00ED7D82"/>
    <w:rsid w:val="00EF20B9"/>
    <w:rsid w:val="00EF7886"/>
    <w:rsid w:val="00F038B1"/>
    <w:rsid w:val="00F1095F"/>
    <w:rsid w:val="00F1105F"/>
    <w:rsid w:val="00F17475"/>
    <w:rsid w:val="00F21DC9"/>
    <w:rsid w:val="00F23150"/>
    <w:rsid w:val="00F26252"/>
    <w:rsid w:val="00F34AD3"/>
    <w:rsid w:val="00F37DD8"/>
    <w:rsid w:val="00F4013A"/>
    <w:rsid w:val="00F40A58"/>
    <w:rsid w:val="00F47EAC"/>
    <w:rsid w:val="00F512E0"/>
    <w:rsid w:val="00F548E7"/>
    <w:rsid w:val="00F55863"/>
    <w:rsid w:val="00F64F31"/>
    <w:rsid w:val="00F6515D"/>
    <w:rsid w:val="00F67494"/>
    <w:rsid w:val="00F701E5"/>
    <w:rsid w:val="00F74F22"/>
    <w:rsid w:val="00F77DE7"/>
    <w:rsid w:val="00F77E48"/>
    <w:rsid w:val="00F91F6E"/>
    <w:rsid w:val="00F945FB"/>
    <w:rsid w:val="00F95DF9"/>
    <w:rsid w:val="00FA35BA"/>
    <w:rsid w:val="00FB083C"/>
    <w:rsid w:val="00FB476E"/>
    <w:rsid w:val="00FB52C1"/>
    <w:rsid w:val="00FB7A9E"/>
    <w:rsid w:val="00FC3E39"/>
    <w:rsid w:val="00FC4711"/>
    <w:rsid w:val="00FC4A55"/>
    <w:rsid w:val="00FC534D"/>
    <w:rsid w:val="00FD1C14"/>
    <w:rsid w:val="00FD29C3"/>
    <w:rsid w:val="00FD6329"/>
    <w:rsid w:val="00FF01AB"/>
    <w:rsid w:val="00FF082A"/>
    <w:rsid w:val="00FF1FC1"/>
    <w:rsid w:val="00FF3A42"/>
    <w:rsid w:val="00FF59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240C"/>
  <w15:chartTrackingRefBased/>
  <w15:docId w15:val="{BB15724A-7A9F-4976-BC0B-7BA16CEA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10"/>
    <w:pPr>
      <w:ind w:left="720"/>
      <w:contextualSpacing/>
    </w:pPr>
  </w:style>
  <w:style w:type="paragraph" w:styleId="Header">
    <w:name w:val="header"/>
    <w:basedOn w:val="Normal"/>
    <w:link w:val="HeaderChar"/>
    <w:uiPriority w:val="99"/>
    <w:unhideWhenUsed/>
    <w:rsid w:val="00313F03"/>
    <w:pPr>
      <w:tabs>
        <w:tab w:val="center" w:pos="4513"/>
        <w:tab w:val="right" w:pos="9026"/>
      </w:tabs>
    </w:pPr>
  </w:style>
  <w:style w:type="character" w:customStyle="1" w:styleId="HeaderChar">
    <w:name w:val="Header Char"/>
    <w:basedOn w:val="DefaultParagraphFont"/>
    <w:link w:val="Header"/>
    <w:uiPriority w:val="99"/>
    <w:rsid w:val="00313F03"/>
  </w:style>
  <w:style w:type="paragraph" w:styleId="Footer">
    <w:name w:val="footer"/>
    <w:basedOn w:val="Normal"/>
    <w:link w:val="FooterChar"/>
    <w:uiPriority w:val="99"/>
    <w:unhideWhenUsed/>
    <w:rsid w:val="00313F03"/>
    <w:pPr>
      <w:tabs>
        <w:tab w:val="center" w:pos="4513"/>
        <w:tab w:val="right" w:pos="9026"/>
      </w:tabs>
    </w:pPr>
  </w:style>
  <w:style w:type="character" w:customStyle="1" w:styleId="FooterChar">
    <w:name w:val="Footer Char"/>
    <w:basedOn w:val="DefaultParagraphFont"/>
    <w:link w:val="Footer"/>
    <w:uiPriority w:val="99"/>
    <w:rsid w:val="00313F03"/>
  </w:style>
  <w:style w:type="paragraph" w:styleId="FootnoteText">
    <w:name w:val="footnote text"/>
    <w:basedOn w:val="Normal"/>
    <w:link w:val="FootnoteTextChar"/>
    <w:uiPriority w:val="99"/>
    <w:semiHidden/>
    <w:unhideWhenUsed/>
    <w:rsid w:val="0060191E"/>
    <w:rPr>
      <w:sz w:val="20"/>
      <w:szCs w:val="20"/>
    </w:rPr>
  </w:style>
  <w:style w:type="character" w:customStyle="1" w:styleId="FootnoteTextChar">
    <w:name w:val="Footnote Text Char"/>
    <w:basedOn w:val="DefaultParagraphFont"/>
    <w:link w:val="FootnoteText"/>
    <w:uiPriority w:val="99"/>
    <w:semiHidden/>
    <w:rsid w:val="0060191E"/>
    <w:rPr>
      <w:sz w:val="20"/>
      <w:szCs w:val="20"/>
    </w:rPr>
  </w:style>
  <w:style w:type="character" w:styleId="FootnoteReference">
    <w:name w:val="footnote reference"/>
    <w:basedOn w:val="DefaultParagraphFont"/>
    <w:uiPriority w:val="99"/>
    <w:semiHidden/>
    <w:unhideWhenUsed/>
    <w:rsid w:val="0060191E"/>
    <w:rPr>
      <w:vertAlign w:val="superscript"/>
    </w:rPr>
  </w:style>
  <w:style w:type="paragraph" w:styleId="Revision">
    <w:name w:val="Revision"/>
    <w:hidden/>
    <w:uiPriority w:val="99"/>
    <w:semiHidden/>
    <w:rsid w:val="001C22AA"/>
    <w:pPr>
      <w:jc w:val="left"/>
    </w:pPr>
  </w:style>
  <w:style w:type="character" w:styleId="CommentReference">
    <w:name w:val="annotation reference"/>
    <w:basedOn w:val="DefaultParagraphFont"/>
    <w:uiPriority w:val="99"/>
    <w:semiHidden/>
    <w:unhideWhenUsed/>
    <w:rsid w:val="001C22AA"/>
    <w:rPr>
      <w:sz w:val="16"/>
      <w:szCs w:val="16"/>
    </w:rPr>
  </w:style>
  <w:style w:type="paragraph" w:styleId="CommentText">
    <w:name w:val="annotation text"/>
    <w:basedOn w:val="Normal"/>
    <w:link w:val="CommentTextChar"/>
    <w:uiPriority w:val="99"/>
    <w:semiHidden/>
    <w:unhideWhenUsed/>
    <w:rsid w:val="001C22AA"/>
    <w:rPr>
      <w:sz w:val="20"/>
      <w:szCs w:val="20"/>
    </w:rPr>
  </w:style>
  <w:style w:type="character" w:customStyle="1" w:styleId="CommentTextChar">
    <w:name w:val="Comment Text Char"/>
    <w:basedOn w:val="DefaultParagraphFont"/>
    <w:link w:val="CommentText"/>
    <w:uiPriority w:val="99"/>
    <w:semiHidden/>
    <w:rsid w:val="001C22AA"/>
    <w:rPr>
      <w:sz w:val="20"/>
      <w:szCs w:val="20"/>
    </w:rPr>
  </w:style>
  <w:style w:type="paragraph" w:styleId="CommentSubject">
    <w:name w:val="annotation subject"/>
    <w:basedOn w:val="CommentText"/>
    <w:next w:val="CommentText"/>
    <w:link w:val="CommentSubjectChar"/>
    <w:uiPriority w:val="99"/>
    <w:semiHidden/>
    <w:unhideWhenUsed/>
    <w:rsid w:val="001C22AA"/>
    <w:rPr>
      <w:b/>
      <w:bCs/>
    </w:rPr>
  </w:style>
  <w:style w:type="character" w:customStyle="1" w:styleId="CommentSubjectChar">
    <w:name w:val="Comment Subject Char"/>
    <w:basedOn w:val="CommentTextChar"/>
    <w:link w:val="CommentSubject"/>
    <w:uiPriority w:val="99"/>
    <w:semiHidden/>
    <w:rsid w:val="001C22AA"/>
    <w:rPr>
      <w:b/>
      <w:bCs/>
      <w:sz w:val="20"/>
      <w:szCs w:val="20"/>
    </w:rPr>
  </w:style>
  <w:style w:type="character" w:styleId="Hyperlink">
    <w:name w:val="Hyperlink"/>
    <w:basedOn w:val="DefaultParagraphFont"/>
    <w:uiPriority w:val="99"/>
    <w:unhideWhenUsed/>
    <w:rsid w:val="00D07935"/>
    <w:rPr>
      <w:color w:val="0000FF" w:themeColor="hyperlink"/>
      <w:u w:val="single"/>
    </w:rPr>
  </w:style>
  <w:style w:type="character" w:styleId="UnresolvedMention">
    <w:name w:val="Unresolved Mention"/>
    <w:basedOn w:val="DefaultParagraphFont"/>
    <w:uiPriority w:val="99"/>
    <w:semiHidden/>
    <w:unhideWhenUsed/>
    <w:rsid w:val="00D07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2387">
      <w:bodyDiv w:val="1"/>
      <w:marLeft w:val="0"/>
      <w:marRight w:val="0"/>
      <w:marTop w:val="0"/>
      <w:marBottom w:val="0"/>
      <w:divBdr>
        <w:top w:val="none" w:sz="0" w:space="0" w:color="auto"/>
        <w:left w:val="none" w:sz="0" w:space="0" w:color="auto"/>
        <w:bottom w:val="none" w:sz="0" w:space="0" w:color="auto"/>
        <w:right w:val="none" w:sz="0" w:space="0" w:color="auto"/>
      </w:divBdr>
    </w:div>
    <w:div w:id="56052985">
      <w:bodyDiv w:val="1"/>
      <w:marLeft w:val="0"/>
      <w:marRight w:val="0"/>
      <w:marTop w:val="0"/>
      <w:marBottom w:val="0"/>
      <w:divBdr>
        <w:top w:val="none" w:sz="0" w:space="0" w:color="auto"/>
        <w:left w:val="none" w:sz="0" w:space="0" w:color="auto"/>
        <w:bottom w:val="none" w:sz="0" w:space="0" w:color="auto"/>
        <w:right w:val="none" w:sz="0" w:space="0" w:color="auto"/>
      </w:divBdr>
    </w:div>
    <w:div w:id="72704703">
      <w:bodyDiv w:val="1"/>
      <w:marLeft w:val="0"/>
      <w:marRight w:val="0"/>
      <w:marTop w:val="0"/>
      <w:marBottom w:val="0"/>
      <w:divBdr>
        <w:top w:val="none" w:sz="0" w:space="0" w:color="auto"/>
        <w:left w:val="none" w:sz="0" w:space="0" w:color="auto"/>
        <w:bottom w:val="none" w:sz="0" w:space="0" w:color="auto"/>
        <w:right w:val="none" w:sz="0" w:space="0" w:color="auto"/>
      </w:divBdr>
    </w:div>
    <w:div w:id="83039210">
      <w:bodyDiv w:val="1"/>
      <w:marLeft w:val="0"/>
      <w:marRight w:val="0"/>
      <w:marTop w:val="0"/>
      <w:marBottom w:val="0"/>
      <w:divBdr>
        <w:top w:val="none" w:sz="0" w:space="0" w:color="auto"/>
        <w:left w:val="none" w:sz="0" w:space="0" w:color="auto"/>
        <w:bottom w:val="none" w:sz="0" w:space="0" w:color="auto"/>
        <w:right w:val="none" w:sz="0" w:space="0" w:color="auto"/>
      </w:divBdr>
    </w:div>
    <w:div w:id="92671725">
      <w:bodyDiv w:val="1"/>
      <w:marLeft w:val="0"/>
      <w:marRight w:val="0"/>
      <w:marTop w:val="0"/>
      <w:marBottom w:val="0"/>
      <w:divBdr>
        <w:top w:val="none" w:sz="0" w:space="0" w:color="auto"/>
        <w:left w:val="none" w:sz="0" w:space="0" w:color="auto"/>
        <w:bottom w:val="none" w:sz="0" w:space="0" w:color="auto"/>
        <w:right w:val="none" w:sz="0" w:space="0" w:color="auto"/>
      </w:divBdr>
    </w:div>
    <w:div w:id="103236847">
      <w:bodyDiv w:val="1"/>
      <w:marLeft w:val="0"/>
      <w:marRight w:val="0"/>
      <w:marTop w:val="0"/>
      <w:marBottom w:val="0"/>
      <w:divBdr>
        <w:top w:val="none" w:sz="0" w:space="0" w:color="auto"/>
        <w:left w:val="none" w:sz="0" w:space="0" w:color="auto"/>
        <w:bottom w:val="none" w:sz="0" w:space="0" w:color="auto"/>
        <w:right w:val="none" w:sz="0" w:space="0" w:color="auto"/>
      </w:divBdr>
    </w:div>
    <w:div w:id="212236205">
      <w:bodyDiv w:val="1"/>
      <w:marLeft w:val="0"/>
      <w:marRight w:val="0"/>
      <w:marTop w:val="0"/>
      <w:marBottom w:val="0"/>
      <w:divBdr>
        <w:top w:val="none" w:sz="0" w:space="0" w:color="auto"/>
        <w:left w:val="none" w:sz="0" w:space="0" w:color="auto"/>
        <w:bottom w:val="none" w:sz="0" w:space="0" w:color="auto"/>
        <w:right w:val="none" w:sz="0" w:space="0" w:color="auto"/>
      </w:divBdr>
    </w:div>
    <w:div w:id="244922841">
      <w:bodyDiv w:val="1"/>
      <w:marLeft w:val="0"/>
      <w:marRight w:val="0"/>
      <w:marTop w:val="0"/>
      <w:marBottom w:val="0"/>
      <w:divBdr>
        <w:top w:val="none" w:sz="0" w:space="0" w:color="auto"/>
        <w:left w:val="none" w:sz="0" w:space="0" w:color="auto"/>
        <w:bottom w:val="none" w:sz="0" w:space="0" w:color="auto"/>
        <w:right w:val="none" w:sz="0" w:space="0" w:color="auto"/>
      </w:divBdr>
    </w:div>
    <w:div w:id="262690563">
      <w:bodyDiv w:val="1"/>
      <w:marLeft w:val="0"/>
      <w:marRight w:val="0"/>
      <w:marTop w:val="0"/>
      <w:marBottom w:val="0"/>
      <w:divBdr>
        <w:top w:val="none" w:sz="0" w:space="0" w:color="auto"/>
        <w:left w:val="none" w:sz="0" w:space="0" w:color="auto"/>
        <w:bottom w:val="none" w:sz="0" w:space="0" w:color="auto"/>
        <w:right w:val="none" w:sz="0" w:space="0" w:color="auto"/>
      </w:divBdr>
    </w:div>
    <w:div w:id="294022767">
      <w:bodyDiv w:val="1"/>
      <w:marLeft w:val="0"/>
      <w:marRight w:val="0"/>
      <w:marTop w:val="0"/>
      <w:marBottom w:val="0"/>
      <w:divBdr>
        <w:top w:val="none" w:sz="0" w:space="0" w:color="auto"/>
        <w:left w:val="none" w:sz="0" w:space="0" w:color="auto"/>
        <w:bottom w:val="none" w:sz="0" w:space="0" w:color="auto"/>
        <w:right w:val="none" w:sz="0" w:space="0" w:color="auto"/>
      </w:divBdr>
    </w:div>
    <w:div w:id="426852910">
      <w:bodyDiv w:val="1"/>
      <w:marLeft w:val="0"/>
      <w:marRight w:val="0"/>
      <w:marTop w:val="0"/>
      <w:marBottom w:val="0"/>
      <w:divBdr>
        <w:top w:val="none" w:sz="0" w:space="0" w:color="auto"/>
        <w:left w:val="none" w:sz="0" w:space="0" w:color="auto"/>
        <w:bottom w:val="none" w:sz="0" w:space="0" w:color="auto"/>
        <w:right w:val="none" w:sz="0" w:space="0" w:color="auto"/>
      </w:divBdr>
    </w:div>
    <w:div w:id="486554345">
      <w:bodyDiv w:val="1"/>
      <w:marLeft w:val="0"/>
      <w:marRight w:val="0"/>
      <w:marTop w:val="0"/>
      <w:marBottom w:val="0"/>
      <w:divBdr>
        <w:top w:val="none" w:sz="0" w:space="0" w:color="auto"/>
        <w:left w:val="none" w:sz="0" w:space="0" w:color="auto"/>
        <w:bottom w:val="none" w:sz="0" w:space="0" w:color="auto"/>
        <w:right w:val="none" w:sz="0" w:space="0" w:color="auto"/>
      </w:divBdr>
    </w:div>
    <w:div w:id="621034312">
      <w:bodyDiv w:val="1"/>
      <w:marLeft w:val="0"/>
      <w:marRight w:val="0"/>
      <w:marTop w:val="0"/>
      <w:marBottom w:val="0"/>
      <w:divBdr>
        <w:top w:val="none" w:sz="0" w:space="0" w:color="auto"/>
        <w:left w:val="none" w:sz="0" w:space="0" w:color="auto"/>
        <w:bottom w:val="none" w:sz="0" w:space="0" w:color="auto"/>
        <w:right w:val="none" w:sz="0" w:space="0" w:color="auto"/>
      </w:divBdr>
    </w:div>
    <w:div w:id="735863972">
      <w:bodyDiv w:val="1"/>
      <w:marLeft w:val="0"/>
      <w:marRight w:val="0"/>
      <w:marTop w:val="0"/>
      <w:marBottom w:val="0"/>
      <w:divBdr>
        <w:top w:val="none" w:sz="0" w:space="0" w:color="auto"/>
        <w:left w:val="none" w:sz="0" w:space="0" w:color="auto"/>
        <w:bottom w:val="none" w:sz="0" w:space="0" w:color="auto"/>
        <w:right w:val="none" w:sz="0" w:space="0" w:color="auto"/>
      </w:divBdr>
    </w:div>
    <w:div w:id="814030682">
      <w:bodyDiv w:val="1"/>
      <w:marLeft w:val="0"/>
      <w:marRight w:val="0"/>
      <w:marTop w:val="0"/>
      <w:marBottom w:val="0"/>
      <w:divBdr>
        <w:top w:val="none" w:sz="0" w:space="0" w:color="auto"/>
        <w:left w:val="none" w:sz="0" w:space="0" w:color="auto"/>
        <w:bottom w:val="none" w:sz="0" w:space="0" w:color="auto"/>
        <w:right w:val="none" w:sz="0" w:space="0" w:color="auto"/>
      </w:divBdr>
    </w:div>
    <w:div w:id="852230758">
      <w:bodyDiv w:val="1"/>
      <w:marLeft w:val="0"/>
      <w:marRight w:val="0"/>
      <w:marTop w:val="0"/>
      <w:marBottom w:val="0"/>
      <w:divBdr>
        <w:top w:val="none" w:sz="0" w:space="0" w:color="auto"/>
        <w:left w:val="none" w:sz="0" w:space="0" w:color="auto"/>
        <w:bottom w:val="none" w:sz="0" w:space="0" w:color="auto"/>
        <w:right w:val="none" w:sz="0" w:space="0" w:color="auto"/>
      </w:divBdr>
    </w:div>
    <w:div w:id="1047990973">
      <w:bodyDiv w:val="1"/>
      <w:marLeft w:val="0"/>
      <w:marRight w:val="0"/>
      <w:marTop w:val="0"/>
      <w:marBottom w:val="0"/>
      <w:divBdr>
        <w:top w:val="none" w:sz="0" w:space="0" w:color="auto"/>
        <w:left w:val="none" w:sz="0" w:space="0" w:color="auto"/>
        <w:bottom w:val="none" w:sz="0" w:space="0" w:color="auto"/>
        <w:right w:val="none" w:sz="0" w:space="0" w:color="auto"/>
      </w:divBdr>
    </w:div>
    <w:div w:id="1133719102">
      <w:bodyDiv w:val="1"/>
      <w:marLeft w:val="0"/>
      <w:marRight w:val="0"/>
      <w:marTop w:val="0"/>
      <w:marBottom w:val="0"/>
      <w:divBdr>
        <w:top w:val="none" w:sz="0" w:space="0" w:color="auto"/>
        <w:left w:val="none" w:sz="0" w:space="0" w:color="auto"/>
        <w:bottom w:val="none" w:sz="0" w:space="0" w:color="auto"/>
        <w:right w:val="none" w:sz="0" w:space="0" w:color="auto"/>
      </w:divBdr>
    </w:div>
    <w:div w:id="1255898573">
      <w:bodyDiv w:val="1"/>
      <w:marLeft w:val="0"/>
      <w:marRight w:val="0"/>
      <w:marTop w:val="0"/>
      <w:marBottom w:val="0"/>
      <w:divBdr>
        <w:top w:val="none" w:sz="0" w:space="0" w:color="auto"/>
        <w:left w:val="none" w:sz="0" w:space="0" w:color="auto"/>
        <w:bottom w:val="none" w:sz="0" w:space="0" w:color="auto"/>
        <w:right w:val="none" w:sz="0" w:space="0" w:color="auto"/>
      </w:divBdr>
    </w:div>
    <w:div w:id="1314987116">
      <w:bodyDiv w:val="1"/>
      <w:marLeft w:val="0"/>
      <w:marRight w:val="0"/>
      <w:marTop w:val="0"/>
      <w:marBottom w:val="0"/>
      <w:divBdr>
        <w:top w:val="none" w:sz="0" w:space="0" w:color="auto"/>
        <w:left w:val="none" w:sz="0" w:space="0" w:color="auto"/>
        <w:bottom w:val="none" w:sz="0" w:space="0" w:color="auto"/>
        <w:right w:val="none" w:sz="0" w:space="0" w:color="auto"/>
      </w:divBdr>
    </w:div>
    <w:div w:id="1367564063">
      <w:bodyDiv w:val="1"/>
      <w:marLeft w:val="0"/>
      <w:marRight w:val="0"/>
      <w:marTop w:val="0"/>
      <w:marBottom w:val="0"/>
      <w:divBdr>
        <w:top w:val="none" w:sz="0" w:space="0" w:color="auto"/>
        <w:left w:val="none" w:sz="0" w:space="0" w:color="auto"/>
        <w:bottom w:val="none" w:sz="0" w:space="0" w:color="auto"/>
        <w:right w:val="none" w:sz="0" w:space="0" w:color="auto"/>
      </w:divBdr>
    </w:div>
    <w:div w:id="1405028631">
      <w:bodyDiv w:val="1"/>
      <w:marLeft w:val="0"/>
      <w:marRight w:val="0"/>
      <w:marTop w:val="0"/>
      <w:marBottom w:val="0"/>
      <w:divBdr>
        <w:top w:val="none" w:sz="0" w:space="0" w:color="auto"/>
        <w:left w:val="none" w:sz="0" w:space="0" w:color="auto"/>
        <w:bottom w:val="none" w:sz="0" w:space="0" w:color="auto"/>
        <w:right w:val="none" w:sz="0" w:space="0" w:color="auto"/>
      </w:divBdr>
    </w:div>
    <w:div w:id="1526558791">
      <w:bodyDiv w:val="1"/>
      <w:marLeft w:val="0"/>
      <w:marRight w:val="0"/>
      <w:marTop w:val="0"/>
      <w:marBottom w:val="0"/>
      <w:divBdr>
        <w:top w:val="none" w:sz="0" w:space="0" w:color="auto"/>
        <w:left w:val="none" w:sz="0" w:space="0" w:color="auto"/>
        <w:bottom w:val="none" w:sz="0" w:space="0" w:color="auto"/>
        <w:right w:val="none" w:sz="0" w:space="0" w:color="auto"/>
      </w:divBdr>
    </w:div>
    <w:div w:id="1557817284">
      <w:bodyDiv w:val="1"/>
      <w:marLeft w:val="0"/>
      <w:marRight w:val="0"/>
      <w:marTop w:val="0"/>
      <w:marBottom w:val="0"/>
      <w:divBdr>
        <w:top w:val="none" w:sz="0" w:space="0" w:color="auto"/>
        <w:left w:val="none" w:sz="0" w:space="0" w:color="auto"/>
        <w:bottom w:val="none" w:sz="0" w:space="0" w:color="auto"/>
        <w:right w:val="none" w:sz="0" w:space="0" w:color="auto"/>
      </w:divBdr>
    </w:div>
    <w:div w:id="1600678109">
      <w:bodyDiv w:val="1"/>
      <w:marLeft w:val="0"/>
      <w:marRight w:val="0"/>
      <w:marTop w:val="0"/>
      <w:marBottom w:val="0"/>
      <w:divBdr>
        <w:top w:val="none" w:sz="0" w:space="0" w:color="auto"/>
        <w:left w:val="none" w:sz="0" w:space="0" w:color="auto"/>
        <w:bottom w:val="none" w:sz="0" w:space="0" w:color="auto"/>
        <w:right w:val="none" w:sz="0" w:space="0" w:color="auto"/>
      </w:divBdr>
    </w:div>
    <w:div w:id="1609695696">
      <w:bodyDiv w:val="1"/>
      <w:marLeft w:val="0"/>
      <w:marRight w:val="0"/>
      <w:marTop w:val="0"/>
      <w:marBottom w:val="0"/>
      <w:divBdr>
        <w:top w:val="none" w:sz="0" w:space="0" w:color="auto"/>
        <w:left w:val="none" w:sz="0" w:space="0" w:color="auto"/>
        <w:bottom w:val="none" w:sz="0" w:space="0" w:color="auto"/>
        <w:right w:val="none" w:sz="0" w:space="0" w:color="auto"/>
      </w:divBdr>
    </w:div>
    <w:div w:id="1689402199">
      <w:bodyDiv w:val="1"/>
      <w:marLeft w:val="0"/>
      <w:marRight w:val="0"/>
      <w:marTop w:val="0"/>
      <w:marBottom w:val="0"/>
      <w:divBdr>
        <w:top w:val="none" w:sz="0" w:space="0" w:color="auto"/>
        <w:left w:val="none" w:sz="0" w:space="0" w:color="auto"/>
        <w:bottom w:val="none" w:sz="0" w:space="0" w:color="auto"/>
        <w:right w:val="none" w:sz="0" w:space="0" w:color="auto"/>
      </w:divBdr>
    </w:div>
    <w:div w:id="1884751437">
      <w:bodyDiv w:val="1"/>
      <w:marLeft w:val="0"/>
      <w:marRight w:val="0"/>
      <w:marTop w:val="0"/>
      <w:marBottom w:val="0"/>
      <w:divBdr>
        <w:top w:val="none" w:sz="0" w:space="0" w:color="auto"/>
        <w:left w:val="none" w:sz="0" w:space="0" w:color="auto"/>
        <w:bottom w:val="none" w:sz="0" w:space="0" w:color="auto"/>
        <w:right w:val="none" w:sz="0" w:space="0" w:color="auto"/>
      </w:divBdr>
    </w:div>
    <w:div w:id="1932351313">
      <w:bodyDiv w:val="1"/>
      <w:marLeft w:val="0"/>
      <w:marRight w:val="0"/>
      <w:marTop w:val="0"/>
      <w:marBottom w:val="0"/>
      <w:divBdr>
        <w:top w:val="none" w:sz="0" w:space="0" w:color="auto"/>
        <w:left w:val="none" w:sz="0" w:space="0" w:color="auto"/>
        <w:bottom w:val="none" w:sz="0" w:space="0" w:color="auto"/>
        <w:right w:val="none" w:sz="0" w:space="0" w:color="auto"/>
      </w:divBdr>
    </w:div>
    <w:div w:id="1997830785">
      <w:bodyDiv w:val="1"/>
      <w:marLeft w:val="0"/>
      <w:marRight w:val="0"/>
      <w:marTop w:val="0"/>
      <w:marBottom w:val="0"/>
      <w:divBdr>
        <w:top w:val="none" w:sz="0" w:space="0" w:color="auto"/>
        <w:left w:val="none" w:sz="0" w:space="0" w:color="auto"/>
        <w:bottom w:val="none" w:sz="0" w:space="0" w:color="auto"/>
        <w:right w:val="none" w:sz="0" w:space="0" w:color="auto"/>
      </w:divBdr>
    </w:div>
    <w:div w:id="210032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A2CA743B0D34A93C73669F3B08F7B" ma:contentTypeVersion="18" ma:contentTypeDescription="Create a new document." ma:contentTypeScope="" ma:versionID="db353c30a6c7fec57412e1f4ca9eea97">
  <xsd:schema xmlns:xsd="http://www.w3.org/2001/XMLSchema" xmlns:xs="http://www.w3.org/2001/XMLSchema" xmlns:p="http://schemas.microsoft.com/office/2006/metadata/properties" xmlns:ns2="c6ac4fba-fc35-48d3-9ccf-00aa8e3b457f" xmlns:ns3="8d40c091-0dd0-4356-9b77-6f1d4befd118" targetNamespace="http://schemas.microsoft.com/office/2006/metadata/properties" ma:root="true" ma:fieldsID="6499f29a788a820e873472c98af8b383" ns2:_="" ns3:_="">
    <xsd:import namespace="c6ac4fba-fc35-48d3-9ccf-00aa8e3b457f"/>
    <xsd:import namespace="8d40c091-0dd0-4356-9b77-6f1d4befd1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c4fba-fc35-48d3-9ccf-00aa8e3b4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a5e1d1-f727-40cb-a3a2-1a5d4cf6c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40c091-0dd0-4356-9b77-6f1d4befd1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a91d60-ed68-4bf2-9ed0-baffe9b96373}" ma:internalName="TaxCatchAll" ma:showField="CatchAllData" ma:web="8d40c091-0dd0-4356-9b77-6f1d4befd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40c091-0dd0-4356-9b77-6f1d4befd118" xsi:nil="true"/>
    <lcf76f155ced4ddcb4097134ff3c332f xmlns="c6ac4fba-fc35-48d3-9ccf-00aa8e3b45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0390C-C41E-4AE4-8B00-9F9E465E8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c4fba-fc35-48d3-9ccf-00aa8e3b457f"/>
    <ds:schemaRef ds:uri="8d40c091-0dd0-4356-9b77-6f1d4bef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B6EE5-FB94-4EEC-9BD9-7C257B0B0968}">
  <ds:schemaRefs>
    <ds:schemaRef ds:uri="http://schemas.microsoft.com/sharepoint/v3/contenttype/forms"/>
  </ds:schemaRefs>
</ds:datastoreItem>
</file>

<file path=customXml/itemProps3.xml><?xml version="1.0" encoding="utf-8"?>
<ds:datastoreItem xmlns:ds="http://schemas.openxmlformats.org/officeDocument/2006/customXml" ds:itemID="{023FF8BA-10FD-4F30-8373-303860391CB4}">
  <ds:schemaRefs>
    <ds:schemaRef ds:uri="http://schemas.microsoft.com/office/2006/metadata/properties"/>
    <ds:schemaRef ds:uri="http://schemas.microsoft.com/office/infopath/2007/PartnerControls"/>
    <ds:schemaRef ds:uri="8d40c091-0dd0-4356-9b77-6f1d4befd118"/>
    <ds:schemaRef ds:uri="c6ac4fba-fc35-48d3-9ccf-00aa8e3b457f"/>
  </ds:schemaRefs>
</ds:datastoreItem>
</file>

<file path=customXml/itemProps4.xml><?xml version="1.0" encoding="utf-8"?>
<ds:datastoreItem xmlns:ds="http://schemas.openxmlformats.org/officeDocument/2006/customXml" ds:itemID="{4BB8DA4E-6EF8-43F3-BF03-CB26F8C1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7330</Words>
  <Characters>41783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Price</dc:creator>
  <cp:keywords/>
  <dc:description/>
  <cp:lastModifiedBy>pati-svc</cp:lastModifiedBy>
  <cp:revision>2</cp:revision>
  <dcterms:created xsi:type="dcterms:W3CDTF">2025-11-12T16:21:00Z</dcterms:created>
  <dcterms:modified xsi:type="dcterms:W3CDTF">2025-11-12T16:21:00Z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0x0101009B2A2CA743B0D34A93C73669F3B08F7B</vt:lpwstr>
  </property>
  <property fmtid="{D5CDD505-2E9C-101B-9397-08002B2CF9AE}" pid="3" name="MediaServiceImageTags">
    <vt:lpwstr/>
  </property>
</Properties>
</file>