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BDC5A" w14:textId="44863852" w:rsidR="007049F6" w:rsidRDefault="007049F6" w:rsidP="007049F6">
      <w:pPr>
        <w:jc w:val="right"/>
        <w:rPr>
          <w:sz w:val="24"/>
          <w:szCs w:val="24"/>
          <w:u w:val="single"/>
        </w:rPr>
      </w:pPr>
      <w:bookmarkStart w:id="0" w:name="_GoBack"/>
      <w:bookmarkEnd w:id="0"/>
      <w:r w:rsidRPr="006B7A9C">
        <w:rPr>
          <w:sz w:val="24"/>
          <w:szCs w:val="24"/>
          <w:u w:val="single"/>
        </w:rPr>
        <w:t>APPEAL NO</w:t>
      </w:r>
      <w:r w:rsidR="00855AE6">
        <w:rPr>
          <w:sz w:val="24"/>
          <w:szCs w:val="24"/>
          <w:u w:val="single"/>
        </w:rPr>
        <w:t>:</w:t>
      </w:r>
    </w:p>
    <w:p w14:paraId="288134AD" w14:textId="77777777" w:rsidR="007049F6" w:rsidRDefault="007049F6" w:rsidP="007049F6">
      <w:pPr>
        <w:jc w:val="left"/>
        <w:rPr>
          <w:sz w:val="24"/>
          <w:szCs w:val="24"/>
          <w:u w:val="single"/>
        </w:rPr>
      </w:pPr>
      <w:r>
        <w:rPr>
          <w:sz w:val="24"/>
          <w:szCs w:val="24"/>
          <w:u w:val="single"/>
        </w:rPr>
        <w:t>IN THE COURT OF APPEAL (CIVIL DIVISION)</w:t>
      </w:r>
    </w:p>
    <w:p w14:paraId="7FCE8B5D" w14:textId="77777777" w:rsidR="007049F6" w:rsidRPr="00906E60" w:rsidRDefault="007049F6" w:rsidP="007049F6">
      <w:pPr>
        <w:jc w:val="left"/>
        <w:rPr>
          <w:sz w:val="24"/>
          <w:szCs w:val="24"/>
          <w:u w:val="single"/>
        </w:rPr>
      </w:pPr>
      <w:r>
        <w:rPr>
          <w:sz w:val="24"/>
          <w:szCs w:val="24"/>
          <w:u w:val="single"/>
        </w:rPr>
        <w:t xml:space="preserve">ON APPEAL FROM </w:t>
      </w:r>
      <w:r w:rsidRPr="00906E60">
        <w:rPr>
          <w:sz w:val="24"/>
          <w:szCs w:val="24"/>
          <w:u w:val="single"/>
        </w:rPr>
        <w:t>THE HIGH COURT OF JUSTICE</w:t>
      </w:r>
      <w:r w:rsidRPr="006B7A9C">
        <w:rPr>
          <w:u w:val="single"/>
        </w:rPr>
        <w:t xml:space="preserve"> </w:t>
      </w:r>
      <w:r w:rsidRPr="006B7A9C">
        <w:rPr>
          <w:sz w:val="24"/>
          <w:szCs w:val="24"/>
          <w:u w:val="single"/>
        </w:rPr>
        <w:t>CLAIM NO: KB-2024-001788</w:t>
      </w:r>
    </w:p>
    <w:p w14:paraId="31C569AB" w14:textId="77777777" w:rsidR="007049F6" w:rsidRDefault="007049F6" w:rsidP="007049F6">
      <w:pPr>
        <w:jc w:val="left"/>
        <w:rPr>
          <w:sz w:val="24"/>
          <w:szCs w:val="24"/>
          <w:u w:val="single"/>
        </w:rPr>
      </w:pPr>
      <w:r w:rsidRPr="00906E60">
        <w:rPr>
          <w:sz w:val="24"/>
          <w:szCs w:val="24"/>
          <w:u w:val="single"/>
        </w:rPr>
        <w:t>KING’S BENCH DIVISION</w:t>
      </w:r>
      <w:r>
        <w:rPr>
          <w:sz w:val="24"/>
          <w:szCs w:val="24"/>
          <w:u w:val="single"/>
        </w:rPr>
        <w:t xml:space="preserve"> </w:t>
      </w:r>
    </w:p>
    <w:p w14:paraId="7D739AC3" w14:textId="77777777" w:rsidR="007049F6" w:rsidRDefault="007049F6" w:rsidP="007049F6">
      <w:pPr>
        <w:jc w:val="left"/>
        <w:rPr>
          <w:sz w:val="24"/>
          <w:szCs w:val="24"/>
          <w:u w:val="single"/>
        </w:rPr>
      </w:pPr>
      <w:r w:rsidRPr="00906E60">
        <w:rPr>
          <w:sz w:val="24"/>
          <w:szCs w:val="24"/>
          <w:u w:val="single"/>
        </w:rPr>
        <w:t>MEDIA AND COMMUNICATIONS LIST</w:t>
      </w:r>
    </w:p>
    <w:p w14:paraId="57051C48" w14:textId="23182AE7" w:rsidR="007049F6" w:rsidRDefault="007049F6" w:rsidP="007049F6">
      <w:pPr>
        <w:jc w:val="left"/>
        <w:rPr>
          <w:sz w:val="24"/>
          <w:szCs w:val="24"/>
          <w:u w:val="single"/>
        </w:rPr>
      </w:pPr>
      <w:r>
        <w:rPr>
          <w:sz w:val="24"/>
          <w:szCs w:val="24"/>
          <w:u w:val="single"/>
        </w:rPr>
        <w:t>THE HONOURABLE MR JUSTICE PEP</w:t>
      </w:r>
      <w:r w:rsidR="006B1ACF">
        <w:rPr>
          <w:sz w:val="24"/>
          <w:szCs w:val="24"/>
          <w:u w:val="single"/>
        </w:rPr>
        <w:t>P</w:t>
      </w:r>
      <w:r>
        <w:rPr>
          <w:sz w:val="24"/>
          <w:szCs w:val="24"/>
          <w:u w:val="single"/>
        </w:rPr>
        <w:t xml:space="preserve">ERALL </w:t>
      </w:r>
      <w:r w:rsidRPr="006B7A9C">
        <w:rPr>
          <w:sz w:val="24"/>
          <w:szCs w:val="24"/>
          <w:u w:val="single"/>
        </w:rPr>
        <w:t>([2025] EWHC 287 (KB)</w:t>
      </w:r>
    </w:p>
    <w:p w14:paraId="6F0B4026" w14:textId="0E4E8C82" w:rsidR="006D42DE" w:rsidRDefault="006D42DE" w:rsidP="006D42DE">
      <w:pPr>
        <w:jc w:val="left"/>
        <w:rPr>
          <w:sz w:val="24"/>
          <w:szCs w:val="24"/>
        </w:rPr>
      </w:pPr>
      <w:bookmarkStart w:id="1" w:name="_Hlk194666308"/>
      <w:r w:rsidRPr="00906E60">
        <w:rPr>
          <w:sz w:val="24"/>
          <w:szCs w:val="24"/>
        </w:rPr>
        <w:t>BETWEEN : -</w:t>
      </w:r>
    </w:p>
    <w:p w14:paraId="7670FE43" w14:textId="77777777" w:rsidR="00960F30" w:rsidRPr="00906E60" w:rsidRDefault="00960F30" w:rsidP="006D42DE">
      <w:pPr>
        <w:jc w:val="left"/>
        <w:rPr>
          <w:sz w:val="24"/>
          <w:szCs w:val="24"/>
        </w:rPr>
      </w:pPr>
    </w:p>
    <w:p w14:paraId="734B0010" w14:textId="77777777" w:rsidR="006D42DE" w:rsidRPr="00906E60" w:rsidRDefault="006D42DE" w:rsidP="006D42DE">
      <w:pPr>
        <w:jc w:val="center"/>
        <w:rPr>
          <w:sz w:val="24"/>
          <w:szCs w:val="24"/>
        </w:rPr>
      </w:pPr>
      <w:r w:rsidRPr="005F22F2">
        <w:t xml:space="preserve"> </w:t>
      </w:r>
      <w:r w:rsidRPr="005F22F2">
        <w:rPr>
          <w:sz w:val="24"/>
          <w:szCs w:val="24"/>
        </w:rPr>
        <w:t>DALE VINCE OBE</w:t>
      </w:r>
    </w:p>
    <w:p w14:paraId="6CB7F420" w14:textId="741F88E2" w:rsidR="00960F30" w:rsidRPr="00906E60" w:rsidRDefault="006D42DE" w:rsidP="00960F30">
      <w:pPr>
        <w:jc w:val="right"/>
        <w:rPr>
          <w:sz w:val="24"/>
          <w:szCs w:val="24"/>
          <w:u w:val="single"/>
        </w:rPr>
      </w:pPr>
      <w:r w:rsidRPr="00906E60">
        <w:rPr>
          <w:sz w:val="24"/>
          <w:szCs w:val="24"/>
        </w:rPr>
        <w:tab/>
      </w:r>
      <w:r w:rsidRPr="00906E60">
        <w:rPr>
          <w:sz w:val="24"/>
          <w:szCs w:val="24"/>
        </w:rPr>
        <w:tab/>
      </w:r>
      <w:r w:rsidRPr="00906E60">
        <w:rPr>
          <w:sz w:val="24"/>
          <w:szCs w:val="24"/>
        </w:rPr>
        <w:tab/>
      </w:r>
      <w:r w:rsidRPr="00906E60">
        <w:rPr>
          <w:sz w:val="24"/>
          <w:szCs w:val="24"/>
        </w:rPr>
        <w:tab/>
      </w:r>
      <w:r w:rsidRPr="00906E60">
        <w:rPr>
          <w:sz w:val="24"/>
          <w:szCs w:val="24"/>
        </w:rPr>
        <w:tab/>
      </w:r>
      <w:r w:rsidRPr="00906E60">
        <w:rPr>
          <w:sz w:val="24"/>
          <w:szCs w:val="24"/>
        </w:rPr>
        <w:tab/>
        <w:t xml:space="preserve">                           </w:t>
      </w:r>
      <w:r w:rsidR="00960F30" w:rsidRPr="00914E54">
        <w:rPr>
          <w:sz w:val="24"/>
          <w:szCs w:val="24"/>
          <w:u w:val="single"/>
        </w:rPr>
        <w:t>Respondent/C</w:t>
      </w:r>
      <w:r w:rsidR="00960F30" w:rsidRPr="00906E60">
        <w:rPr>
          <w:sz w:val="24"/>
          <w:szCs w:val="24"/>
          <w:u w:val="single"/>
        </w:rPr>
        <w:t>laimant</w:t>
      </w:r>
    </w:p>
    <w:p w14:paraId="1BA430AF" w14:textId="77777777" w:rsidR="006D42DE" w:rsidRPr="00906E60" w:rsidRDefault="006D42DE" w:rsidP="006D42DE">
      <w:pPr>
        <w:jc w:val="center"/>
        <w:rPr>
          <w:sz w:val="24"/>
          <w:szCs w:val="24"/>
        </w:rPr>
      </w:pPr>
      <w:r w:rsidRPr="00906E60">
        <w:rPr>
          <w:sz w:val="24"/>
          <w:szCs w:val="24"/>
        </w:rPr>
        <w:t>- and -</w:t>
      </w:r>
    </w:p>
    <w:p w14:paraId="04EC7B8D" w14:textId="77777777" w:rsidR="006D42DE" w:rsidRPr="00906E60" w:rsidRDefault="006D42DE" w:rsidP="006D42DE">
      <w:pPr>
        <w:rPr>
          <w:sz w:val="24"/>
          <w:szCs w:val="24"/>
        </w:rPr>
      </w:pPr>
      <w:r w:rsidRPr="00906E60">
        <w:rPr>
          <w:sz w:val="24"/>
          <w:szCs w:val="24"/>
        </w:rPr>
        <w:tab/>
      </w:r>
      <w:r w:rsidRPr="00906E60">
        <w:rPr>
          <w:sz w:val="24"/>
          <w:szCs w:val="24"/>
        </w:rPr>
        <w:tab/>
      </w:r>
      <w:r w:rsidRPr="00906E60">
        <w:rPr>
          <w:sz w:val="24"/>
          <w:szCs w:val="24"/>
        </w:rPr>
        <w:tab/>
      </w:r>
      <w:r w:rsidRPr="00906E60">
        <w:rPr>
          <w:sz w:val="24"/>
          <w:szCs w:val="24"/>
        </w:rPr>
        <w:tab/>
      </w:r>
    </w:p>
    <w:p w14:paraId="7F4C78C1" w14:textId="77777777" w:rsidR="006D42DE" w:rsidRPr="00906E60" w:rsidRDefault="006D42DE" w:rsidP="006D42DE">
      <w:pPr>
        <w:jc w:val="center"/>
        <w:rPr>
          <w:sz w:val="24"/>
          <w:szCs w:val="24"/>
        </w:rPr>
      </w:pPr>
      <w:r w:rsidRPr="005F22F2">
        <w:rPr>
          <w:sz w:val="24"/>
          <w:szCs w:val="24"/>
        </w:rPr>
        <w:t>LORD SHAUN BAILEY</w:t>
      </w:r>
    </w:p>
    <w:p w14:paraId="33C18E95" w14:textId="1AF5D588" w:rsidR="006D42DE" w:rsidRPr="00906E60" w:rsidRDefault="006D42DE" w:rsidP="006D42DE">
      <w:pPr>
        <w:jc w:val="right"/>
        <w:rPr>
          <w:sz w:val="24"/>
          <w:szCs w:val="24"/>
          <w:u w:val="single"/>
        </w:rPr>
      </w:pPr>
      <w:r w:rsidRPr="00906E60">
        <w:rPr>
          <w:sz w:val="24"/>
          <w:szCs w:val="24"/>
        </w:rPr>
        <w:tab/>
      </w:r>
      <w:r w:rsidRPr="00906E60">
        <w:rPr>
          <w:sz w:val="24"/>
          <w:szCs w:val="24"/>
        </w:rPr>
        <w:tab/>
      </w:r>
      <w:r w:rsidRPr="00906E60">
        <w:rPr>
          <w:sz w:val="24"/>
          <w:szCs w:val="24"/>
        </w:rPr>
        <w:tab/>
      </w:r>
      <w:r w:rsidRPr="00906E60">
        <w:rPr>
          <w:sz w:val="24"/>
          <w:szCs w:val="24"/>
        </w:rPr>
        <w:tab/>
      </w:r>
      <w:r w:rsidRPr="00906E60">
        <w:rPr>
          <w:sz w:val="24"/>
          <w:szCs w:val="24"/>
        </w:rPr>
        <w:tab/>
      </w:r>
      <w:r w:rsidRPr="00906E60">
        <w:rPr>
          <w:sz w:val="24"/>
          <w:szCs w:val="24"/>
        </w:rPr>
        <w:tab/>
      </w:r>
      <w:r w:rsidRPr="00906E60">
        <w:rPr>
          <w:sz w:val="24"/>
          <w:szCs w:val="24"/>
        </w:rPr>
        <w:tab/>
      </w:r>
      <w:r w:rsidRPr="00906E60">
        <w:rPr>
          <w:sz w:val="24"/>
          <w:szCs w:val="24"/>
        </w:rPr>
        <w:tab/>
        <w:t xml:space="preserve">              </w:t>
      </w:r>
      <w:r w:rsidR="00960F30" w:rsidRPr="00960F30">
        <w:rPr>
          <w:sz w:val="24"/>
          <w:szCs w:val="24"/>
          <w:u w:val="single"/>
        </w:rPr>
        <w:t>Appellant/</w:t>
      </w:r>
      <w:r w:rsidRPr="00960F30">
        <w:rPr>
          <w:sz w:val="24"/>
          <w:szCs w:val="24"/>
          <w:u w:val="single"/>
        </w:rPr>
        <w:t>D</w:t>
      </w:r>
      <w:r w:rsidRPr="00906E60">
        <w:rPr>
          <w:sz w:val="24"/>
          <w:szCs w:val="24"/>
          <w:u w:val="single"/>
        </w:rPr>
        <w:t>efendant</w:t>
      </w:r>
    </w:p>
    <w:bookmarkEnd w:id="1"/>
    <w:p w14:paraId="2892E87E" w14:textId="061FC7FE" w:rsidR="006D42DE" w:rsidRDefault="006D42DE" w:rsidP="006D42DE">
      <w:pPr>
        <w:jc w:val="center"/>
        <w:rPr>
          <w:sz w:val="24"/>
          <w:szCs w:val="24"/>
        </w:rPr>
      </w:pPr>
    </w:p>
    <w:p w14:paraId="0C4805E9" w14:textId="77777777" w:rsidR="00511EB6" w:rsidRPr="00906E60" w:rsidRDefault="00511EB6" w:rsidP="006D42DE">
      <w:pPr>
        <w:jc w:val="center"/>
        <w:rPr>
          <w:sz w:val="24"/>
          <w:szCs w:val="24"/>
        </w:rPr>
      </w:pPr>
    </w:p>
    <w:p w14:paraId="26EE04F7" w14:textId="357743EB" w:rsidR="006D42DE" w:rsidRPr="00906E60" w:rsidRDefault="00967894" w:rsidP="006D42DE">
      <w:pPr>
        <w:keepNext/>
        <w:pBdr>
          <w:top w:val="single" w:sz="8" w:space="14" w:color="auto"/>
          <w:bottom w:val="single" w:sz="8" w:space="16" w:color="auto"/>
        </w:pBdr>
        <w:tabs>
          <w:tab w:val="left" w:pos="5940"/>
        </w:tabs>
        <w:ind w:left="567" w:right="567"/>
        <w:jc w:val="center"/>
        <w:outlineLvl w:val="3"/>
        <w:rPr>
          <w:rFonts w:eastAsia="Times New Roman"/>
          <w:sz w:val="24"/>
          <w:szCs w:val="24"/>
        </w:rPr>
      </w:pPr>
      <w:r>
        <w:rPr>
          <w:rFonts w:eastAsia="Times New Roman"/>
          <w:sz w:val="24"/>
          <w:szCs w:val="24"/>
        </w:rPr>
        <w:t xml:space="preserve">GROUNDS OF APPEAL </w:t>
      </w:r>
    </w:p>
    <w:p w14:paraId="14412D62" w14:textId="77777777" w:rsidR="006D42DE" w:rsidRPr="00906E60" w:rsidRDefault="006D42DE" w:rsidP="006D42DE">
      <w:pPr>
        <w:rPr>
          <w:sz w:val="24"/>
          <w:szCs w:val="24"/>
        </w:rPr>
      </w:pPr>
    </w:p>
    <w:p w14:paraId="49371A2A" w14:textId="77973E60" w:rsidR="00130490" w:rsidRDefault="00FF3B58" w:rsidP="007049F6">
      <w:pPr>
        <w:spacing w:before="240" w:after="240"/>
        <w:rPr>
          <w:sz w:val="24"/>
          <w:szCs w:val="24"/>
        </w:rPr>
      </w:pPr>
      <w:r>
        <w:rPr>
          <w:sz w:val="24"/>
          <w:szCs w:val="24"/>
        </w:rPr>
        <w:t xml:space="preserve">Definitions: </w:t>
      </w:r>
      <w:r w:rsidR="00FE5389">
        <w:rPr>
          <w:sz w:val="24"/>
          <w:szCs w:val="24"/>
        </w:rPr>
        <w:t>T</w:t>
      </w:r>
      <w:r w:rsidR="00FD1ED6">
        <w:rPr>
          <w:sz w:val="24"/>
          <w:szCs w:val="24"/>
        </w:rPr>
        <w:t>he “</w:t>
      </w:r>
      <w:r w:rsidR="00FD1ED6" w:rsidRPr="00FD1ED6">
        <w:rPr>
          <w:i/>
          <w:iCs/>
          <w:sz w:val="24"/>
          <w:szCs w:val="24"/>
        </w:rPr>
        <w:t>Broadcast</w:t>
      </w:r>
      <w:r w:rsidR="00FD1ED6">
        <w:rPr>
          <w:sz w:val="24"/>
          <w:szCs w:val="24"/>
        </w:rPr>
        <w:t xml:space="preserve">” </w:t>
      </w:r>
      <w:r w:rsidR="00FE5389">
        <w:rPr>
          <w:sz w:val="24"/>
          <w:szCs w:val="24"/>
        </w:rPr>
        <w:t xml:space="preserve">is the extract from the </w:t>
      </w:r>
      <w:r w:rsidR="00FE5389" w:rsidRPr="00C471A1">
        <w:rPr>
          <w:sz w:val="24"/>
          <w:szCs w:val="24"/>
        </w:rPr>
        <w:t xml:space="preserve">Patrick Christys Tonight programme </w:t>
      </w:r>
      <w:r w:rsidR="00FE5389" w:rsidRPr="00AB56D6">
        <w:rPr>
          <w:sz w:val="24"/>
          <w:szCs w:val="24"/>
        </w:rPr>
        <w:t>o</w:t>
      </w:r>
      <w:r w:rsidR="007049F6">
        <w:rPr>
          <w:sz w:val="24"/>
          <w:szCs w:val="24"/>
        </w:rPr>
        <w:t>f</w:t>
      </w:r>
      <w:r w:rsidR="00FE5389" w:rsidRPr="00AB56D6">
        <w:rPr>
          <w:sz w:val="24"/>
          <w:szCs w:val="24"/>
        </w:rPr>
        <w:t xml:space="preserve"> 14 March 20</w:t>
      </w:r>
      <w:r w:rsidR="00FE5389">
        <w:rPr>
          <w:sz w:val="24"/>
          <w:szCs w:val="24"/>
        </w:rPr>
        <w:t>2</w:t>
      </w:r>
      <w:r w:rsidR="00FE5389" w:rsidRPr="00AB56D6">
        <w:rPr>
          <w:sz w:val="24"/>
          <w:szCs w:val="24"/>
        </w:rPr>
        <w:t>4 set out in paragraph 6 of the Amended Particulars of Claim</w:t>
      </w:r>
      <w:r w:rsidR="00FE5389">
        <w:rPr>
          <w:sz w:val="24"/>
          <w:szCs w:val="24"/>
        </w:rPr>
        <w:t>. The “</w:t>
      </w:r>
      <w:r w:rsidR="00FE5389" w:rsidRPr="00FE5389">
        <w:rPr>
          <w:i/>
          <w:iCs/>
          <w:sz w:val="24"/>
          <w:szCs w:val="24"/>
        </w:rPr>
        <w:t>CrowdJustice publication</w:t>
      </w:r>
      <w:r w:rsidR="00FE5389">
        <w:rPr>
          <w:i/>
          <w:iCs/>
          <w:sz w:val="24"/>
          <w:szCs w:val="24"/>
        </w:rPr>
        <w:t>”</w:t>
      </w:r>
      <w:r w:rsidR="00FE5389">
        <w:rPr>
          <w:sz w:val="24"/>
          <w:szCs w:val="24"/>
        </w:rPr>
        <w:t xml:space="preserve"> is the post made by the </w:t>
      </w:r>
      <w:r w:rsidR="00FE5389" w:rsidRPr="00AB56D6">
        <w:rPr>
          <w:sz w:val="24"/>
          <w:szCs w:val="24"/>
        </w:rPr>
        <w:t>Defendant on CrowdJustice.com on 2 September 2024 set out in paragraph 14 of the Amended Particulars of Claim</w:t>
      </w:r>
      <w:r w:rsidR="00FE5389">
        <w:rPr>
          <w:sz w:val="24"/>
          <w:szCs w:val="24"/>
        </w:rPr>
        <w:t xml:space="preserve">. </w:t>
      </w:r>
      <w:r w:rsidR="00042B9E">
        <w:rPr>
          <w:sz w:val="24"/>
          <w:szCs w:val="24"/>
        </w:rPr>
        <w:t xml:space="preserve">The </w:t>
      </w:r>
      <w:r w:rsidR="006240B7">
        <w:rPr>
          <w:sz w:val="24"/>
          <w:szCs w:val="24"/>
        </w:rPr>
        <w:t>“</w:t>
      </w:r>
      <w:r w:rsidR="006240B7" w:rsidRPr="006240B7">
        <w:rPr>
          <w:i/>
          <w:iCs/>
          <w:sz w:val="24"/>
          <w:szCs w:val="24"/>
        </w:rPr>
        <w:t>Interview</w:t>
      </w:r>
      <w:r w:rsidR="006240B7">
        <w:rPr>
          <w:sz w:val="24"/>
          <w:szCs w:val="24"/>
        </w:rPr>
        <w:t xml:space="preserve">” is the Claimant’s interview on Times Radio on 9 October 2023. The </w:t>
      </w:r>
      <w:r w:rsidR="008F2B7C">
        <w:rPr>
          <w:i/>
          <w:iCs/>
          <w:sz w:val="24"/>
          <w:szCs w:val="24"/>
        </w:rPr>
        <w:t xml:space="preserve">“Question” </w:t>
      </w:r>
      <w:r w:rsidR="008F2B7C">
        <w:rPr>
          <w:sz w:val="24"/>
          <w:szCs w:val="24"/>
        </w:rPr>
        <w:t>is “</w:t>
      </w:r>
      <w:r w:rsidR="008F2B7C" w:rsidRPr="006240B7">
        <w:rPr>
          <w:i/>
          <w:iCs/>
          <w:sz w:val="24"/>
          <w:szCs w:val="24"/>
        </w:rPr>
        <w:t>I’m saying is a terrorist attack from Hamas, Palestine defending itself?</w:t>
      </w:r>
      <w:r w:rsidR="008F2B7C">
        <w:rPr>
          <w:sz w:val="24"/>
          <w:szCs w:val="24"/>
        </w:rPr>
        <w:t xml:space="preserve">” asked of the Claimant in the Interview. The </w:t>
      </w:r>
      <w:r w:rsidR="006240B7">
        <w:rPr>
          <w:sz w:val="24"/>
          <w:szCs w:val="24"/>
        </w:rPr>
        <w:t>“</w:t>
      </w:r>
      <w:r w:rsidR="006240B7" w:rsidRPr="006240B7">
        <w:rPr>
          <w:i/>
          <w:iCs/>
          <w:sz w:val="24"/>
          <w:szCs w:val="24"/>
        </w:rPr>
        <w:t>Answer</w:t>
      </w:r>
      <w:r w:rsidR="006240B7">
        <w:rPr>
          <w:sz w:val="24"/>
          <w:szCs w:val="24"/>
        </w:rPr>
        <w:t>” is</w:t>
      </w:r>
      <w:r w:rsidR="00FD1ED6">
        <w:rPr>
          <w:sz w:val="24"/>
          <w:szCs w:val="24"/>
        </w:rPr>
        <w:t xml:space="preserve"> </w:t>
      </w:r>
      <w:r w:rsidR="006240B7">
        <w:rPr>
          <w:sz w:val="24"/>
          <w:szCs w:val="24"/>
        </w:rPr>
        <w:t>“</w:t>
      </w:r>
      <w:r w:rsidR="006240B7" w:rsidRPr="006240B7">
        <w:rPr>
          <w:i/>
          <w:iCs/>
          <w:sz w:val="24"/>
          <w:szCs w:val="24"/>
        </w:rPr>
        <w:t>I think one man’s freedom ﬁghter is another man’s terrorist right, that’s how it works</w:t>
      </w:r>
      <w:r w:rsidR="006240B7">
        <w:rPr>
          <w:sz w:val="24"/>
          <w:szCs w:val="24"/>
        </w:rPr>
        <w:t xml:space="preserve">” </w:t>
      </w:r>
      <w:r w:rsidR="007049F6">
        <w:rPr>
          <w:sz w:val="24"/>
          <w:szCs w:val="24"/>
        </w:rPr>
        <w:t xml:space="preserve">given </w:t>
      </w:r>
      <w:r w:rsidR="008F2B7C">
        <w:rPr>
          <w:sz w:val="24"/>
          <w:szCs w:val="24"/>
        </w:rPr>
        <w:t xml:space="preserve">by </w:t>
      </w:r>
      <w:r w:rsidR="006240B7">
        <w:rPr>
          <w:sz w:val="24"/>
          <w:szCs w:val="24"/>
        </w:rPr>
        <w:t xml:space="preserve">the Claimant in response to the </w:t>
      </w:r>
      <w:r w:rsidR="008F2B7C">
        <w:rPr>
          <w:sz w:val="24"/>
          <w:szCs w:val="24"/>
        </w:rPr>
        <w:t>Q</w:t>
      </w:r>
      <w:r w:rsidR="006240B7">
        <w:rPr>
          <w:sz w:val="24"/>
          <w:szCs w:val="24"/>
        </w:rPr>
        <w:t>uestion</w:t>
      </w:r>
      <w:r w:rsidR="008F2B7C">
        <w:rPr>
          <w:sz w:val="24"/>
          <w:szCs w:val="24"/>
        </w:rPr>
        <w:t>.</w:t>
      </w:r>
      <w:r w:rsidR="006240B7">
        <w:rPr>
          <w:sz w:val="24"/>
          <w:szCs w:val="24"/>
        </w:rPr>
        <w:t xml:space="preserve"> </w:t>
      </w:r>
      <w:r>
        <w:rPr>
          <w:sz w:val="24"/>
          <w:szCs w:val="24"/>
        </w:rPr>
        <w:t>The “</w:t>
      </w:r>
      <w:r w:rsidRPr="00FF3B58">
        <w:rPr>
          <w:i/>
          <w:iCs/>
          <w:sz w:val="24"/>
          <w:szCs w:val="24"/>
        </w:rPr>
        <w:t>Opinion</w:t>
      </w:r>
      <w:r>
        <w:rPr>
          <w:sz w:val="24"/>
          <w:szCs w:val="24"/>
        </w:rPr>
        <w:t>” is the interpretation of the Answer in the context of the Interview as calling, viewing and/or describing Hamas as freedom fighters</w:t>
      </w:r>
      <w:r w:rsidR="00FD1ED6">
        <w:rPr>
          <w:sz w:val="24"/>
          <w:szCs w:val="24"/>
        </w:rPr>
        <w:t>, as expressed by the Defendant in the Broadcast and CrowdJustice publication</w:t>
      </w:r>
      <w:r>
        <w:rPr>
          <w:sz w:val="24"/>
          <w:szCs w:val="24"/>
        </w:rPr>
        <w:t xml:space="preserve">. </w:t>
      </w:r>
      <w:r w:rsidR="002E37FF">
        <w:rPr>
          <w:sz w:val="24"/>
          <w:szCs w:val="24"/>
        </w:rPr>
        <w:t>The “</w:t>
      </w:r>
      <w:r w:rsidR="002E37FF" w:rsidRPr="002E37FF">
        <w:rPr>
          <w:i/>
          <w:iCs/>
          <w:sz w:val="24"/>
          <w:szCs w:val="24"/>
        </w:rPr>
        <w:t>Hamas Attack</w:t>
      </w:r>
      <w:r w:rsidR="002E37FF">
        <w:rPr>
          <w:sz w:val="24"/>
          <w:szCs w:val="24"/>
        </w:rPr>
        <w:t xml:space="preserve">” is the notorious events in Israel on 7 October 2023. </w:t>
      </w:r>
      <w:r w:rsidR="008B30D5">
        <w:rPr>
          <w:sz w:val="24"/>
          <w:szCs w:val="24"/>
        </w:rPr>
        <w:t xml:space="preserve">The </w:t>
      </w:r>
      <w:r w:rsidR="008B30D5">
        <w:rPr>
          <w:i/>
          <w:iCs/>
          <w:sz w:val="24"/>
          <w:szCs w:val="24"/>
        </w:rPr>
        <w:t xml:space="preserve">“Segment” </w:t>
      </w:r>
      <w:r w:rsidR="008B30D5">
        <w:rPr>
          <w:sz w:val="24"/>
          <w:szCs w:val="24"/>
        </w:rPr>
        <w:t>is the segment of the Interview published by Guido Fawkes.  The “</w:t>
      </w:r>
      <w:r w:rsidR="008B30D5">
        <w:rPr>
          <w:i/>
          <w:iCs/>
          <w:sz w:val="24"/>
          <w:szCs w:val="24"/>
        </w:rPr>
        <w:t xml:space="preserve">Segment allegation” </w:t>
      </w:r>
      <w:r w:rsidR="008B30D5">
        <w:rPr>
          <w:sz w:val="24"/>
          <w:szCs w:val="24"/>
        </w:rPr>
        <w:t xml:space="preserve">is </w:t>
      </w:r>
      <w:r w:rsidR="00B40193">
        <w:rPr>
          <w:sz w:val="24"/>
          <w:szCs w:val="24"/>
        </w:rPr>
        <w:t xml:space="preserve">the Claimant’s </w:t>
      </w:r>
      <w:r w:rsidR="008B30D5">
        <w:rPr>
          <w:sz w:val="24"/>
          <w:szCs w:val="24"/>
        </w:rPr>
        <w:t xml:space="preserve">contention that </w:t>
      </w:r>
      <w:r w:rsidR="00B40193">
        <w:rPr>
          <w:sz w:val="24"/>
          <w:szCs w:val="24"/>
        </w:rPr>
        <w:t xml:space="preserve">the </w:t>
      </w:r>
      <w:r w:rsidR="008B30D5">
        <w:rPr>
          <w:sz w:val="24"/>
          <w:szCs w:val="24"/>
        </w:rPr>
        <w:t>D</w:t>
      </w:r>
      <w:r w:rsidR="00B40193">
        <w:rPr>
          <w:sz w:val="24"/>
          <w:szCs w:val="24"/>
        </w:rPr>
        <w:t xml:space="preserve">efendant </w:t>
      </w:r>
      <w:r w:rsidR="008B30D5">
        <w:rPr>
          <w:sz w:val="24"/>
          <w:szCs w:val="24"/>
        </w:rPr>
        <w:t xml:space="preserve">may only have seen the Segment.  </w:t>
      </w:r>
      <w:r w:rsidR="006240B7">
        <w:rPr>
          <w:sz w:val="24"/>
          <w:szCs w:val="24"/>
        </w:rPr>
        <w:t>References to section numbers are to the Defamation Act 2013</w:t>
      </w:r>
      <w:r w:rsidR="00B40193">
        <w:rPr>
          <w:sz w:val="24"/>
          <w:szCs w:val="24"/>
        </w:rPr>
        <w:t xml:space="preserve"> and paragraph numbers to the judgment of 11 February 2025. </w:t>
      </w:r>
    </w:p>
    <w:p w14:paraId="76792799" w14:textId="0632B278" w:rsidR="004D6806" w:rsidRPr="00C729ED" w:rsidRDefault="008F2B7C" w:rsidP="000A56D9">
      <w:pPr>
        <w:spacing w:before="240" w:after="240" w:line="360" w:lineRule="auto"/>
        <w:rPr>
          <w:sz w:val="24"/>
          <w:szCs w:val="24"/>
        </w:rPr>
      </w:pPr>
      <w:r>
        <w:rPr>
          <w:b/>
          <w:bCs/>
          <w:sz w:val="24"/>
          <w:szCs w:val="24"/>
        </w:rPr>
        <w:t>Section 3(5)</w:t>
      </w:r>
    </w:p>
    <w:p w14:paraId="3CAC3740" w14:textId="1DD9D01F" w:rsidR="00967894" w:rsidRPr="00967894" w:rsidRDefault="004B3EE1" w:rsidP="000A56D9">
      <w:pPr>
        <w:pStyle w:val="ListParagraph"/>
        <w:numPr>
          <w:ilvl w:val="0"/>
          <w:numId w:val="1"/>
        </w:numPr>
        <w:spacing w:before="240" w:after="240" w:line="360" w:lineRule="auto"/>
        <w:rPr>
          <w:sz w:val="24"/>
          <w:szCs w:val="24"/>
        </w:rPr>
      </w:pPr>
      <w:r>
        <w:rPr>
          <w:sz w:val="24"/>
          <w:szCs w:val="24"/>
        </w:rPr>
        <w:t>T</w:t>
      </w:r>
      <w:r w:rsidR="003B7BB0">
        <w:rPr>
          <w:sz w:val="24"/>
          <w:szCs w:val="24"/>
        </w:rPr>
        <w:t xml:space="preserve">he </w:t>
      </w:r>
      <w:r w:rsidR="00967894" w:rsidRPr="00967894">
        <w:rPr>
          <w:sz w:val="24"/>
          <w:szCs w:val="24"/>
        </w:rPr>
        <w:t xml:space="preserve">Judge was wrong to </w:t>
      </w:r>
      <w:r>
        <w:rPr>
          <w:sz w:val="24"/>
          <w:szCs w:val="24"/>
        </w:rPr>
        <w:t xml:space="preserve">dismiss the Defendant’s summary judgment application in relation to </w:t>
      </w:r>
      <w:r w:rsidR="003B7BB0">
        <w:rPr>
          <w:sz w:val="24"/>
          <w:szCs w:val="24"/>
        </w:rPr>
        <w:t>s</w:t>
      </w:r>
      <w:r w:rsidR="006240B7">
        <w:rPr>
          <w:sz w:val="24"/>
          <w:szCs w:val="24"/>
        </w:rPr>
        <w:t>.</w:t>
      </w:r>
      <w:r w:rsidR="003B7BB0">
        <w:rPr>
          <w:sz w:val="24"/>
          <w:szCs w:val="24"/>
        </w:rPr>
        <w:t>3(5)</w:t>
      </w:r>
      <w:r w:rsidR="000A56D9">
        <w:rPr>
          <w:sz w:val="24"/>
          <w:szCs w:val="24"/>
        </w:rPr>
        <w:t xml:space="preserve">. </w:t>
      </w:r>
      <w:r w:rsidR="00FE7E87">
        <w:rPr>
          <w:sz w:val="24"/>
          <w:szCs w:val="24"/>
        </w:rPr>
        <w:t xml:space="preserve">The </w:t>
      </w:r>
      <w:r w:rsidR="00967894" w:rsidRPr="00967894">
        <w:rPr>
          <w:sz w:val="24"/>
          <w:szCs w:val="24"/>
        </w:rPr>
        <w:t xml:space="preserve">sole reason </w:t>
      </w:r>
      <w:r w:rsidR="003B7BB0">
        <w:rPr>
          <w:sz w:val="24"/>
          <w:szCs w:val="24"/>
        </w:rPr>
        <w:t xml:space="preserve">given </w:t>
      </w:r>
      <w:r w:rsidR="003514FB">
        <w:rPr>
          <w:sz w:val="24"/>
          <w:szCs w:val="24"/>
        </w:rPr>
        <w:t>(at</w:t>
      </w:r>
      <w:r w:rsidR="003514FB" w:rsidRPr="00967894">
        <w:rPr>
          <w:sz w:val="24"/>
          <w:szCs w:val="24"/>
        </w:rPr>
        <w:t xml:space="preserve"> </w:t>
      </w:r>
      <w:r w:rsidR="00696CE1">
        <w:rPr>
          <w:sz w:val="24"/>
          <w:szCs w:val="24"/>
        </w:rPr>
        <w:t xml:space="preserve">paragraph </w:t>
      </w:r>
      <w:r w:rsidR="003514FB" w:rsidRPr="00967894">
        <w:rPr>
          <w:sz w:val="24"/>
          <w:szCs w:val="24"/>
        </w:rPr>
        <w:t>119</w:t>
      </w:r>
      <w:r w:rsidR="003514FB">
        <w:rPr>
          <w:sz w:val="24"/>
          <w:szCs w:val="24"/>
        </w:rPr>
        <w:t xml:space="preserve">) </w:t>
      </w:r>
      <w:r w:rsidR="00967894" w:rsidRPr="00967894">
        <w:rPr>
          <w:sz w:val="24"/>
          <w:szCs w:val="24"/>
        </w:rPr>
        <w:t>was that it was “</w:t>
      </w:r>
      <w:r w:rsidR="00967894" w:rsidRPr="00130490">
        <w:rPr>
          <w:i/>
          <w:iCs/>
          <w:sz w:val="24"/>
          <w:szCs w:val="24"/>
        </w:rPr>
        <w:t>properly arguable</w:t>
      </w:r>
      <w:r w:rsidR="00967894" w:rsidRPr="00967894">
        <w:rPr>
          <w:sz w:val="24"/>
          <w:szCs w:val="24"/>
        </w:rPr>
        <w:t xml:space="preserve">” that </w:t>
      </w:r>
      <w:r w:rsidR="003514FB">
        <w:rPr>
          <w:sz w:val="24"/>
          <w:szCs w:val="24"/>
        </w:rPr>
        <w:t xml:space="preserve">the </w:t>
      </w:r>
      <w:r w:rsidR="00967894" w:rsidRPr="00967894">
        <w:rPr>
          <w:sz w:val="24"/>
          <w:szCs w:val="24"/>
        </w:rPr>
        <w:t xml:space="preserve">Defendant </w:t>
      </w:r>
      <w:r w:rsidR="002426A1">
        <w:rPr>
          <w:sz w:val="24"/>
          <w:szCs w:val="24"/>
        </w:rPr>
        <w:t>“</w:t>
      </w:r>
      <w:r w:rsidR="00967894" w:rsidRPr="002426A1">
        <w:rPr>
          <w:i/>
          <w:iCs/>
          <w:sz w:val="24"/>
          <w:szCs w:val="24"/>
        </w:rPr>
        <w:t>should have</w:t>
      </w:r>
      <w:r w:rsidR="0060665A">
        <w:rPr>
          <w:i/>
          <w:iCs/>
          <w:sz w:val="24"/>
          <w:szCs w:val="24"/>
        </w:rPr>
        <w:t xml:space="preserve"> </w:t>
      </w:r>
      <w:r w:rsidR="00967894" w:rsidRPr="002426A1">
        <w:rPr>
          <w:i/>
          <w:iCs/>
          <w:sz w:val="24"/>
          <w:szCs w:val="24"/>
        </w:rPr>
        <w:t>realised</w:t>
      </w:r>
      <w:r w:rsidR="002426A1">
        <w:rPr>
          <w:sz w:val="24"/>
          <w:szCs w:val="24"/>
        </w:rPr>
        <w:t>”</w:t>
      </w:r>
      <w:r w:rsidR="00967894" w:rsidRPr="00967894">
        <w:rPr>
          <w:sz w:val="24"/>
          <w:szCs w:val="24"/>
        </w:rPr>
        <w:t xml:space="preserve"> from having carefully viewed the Interview on three occasions that “</w:t>
      </w:r>
      <w:r w:rsidR="00967894" w:rsidRPr="00130490">
        <w:rPr>
          <w:i/>
          <w:iCs/>
          <w:sz w:val="24"/>
          <w:szCs w:val="24"/>
        </w:rPr>
        <w:t>Mr Vince was not calling Hamas freedom fighters</w:t>
      </w:r>
      <w:r w:rsidR="00105248" w:rsidRPr="00105248">
        <w:rPr>
          <w:i/>
          <w:iCs/>
          <w:sz w:val="24"/>
          <w:szCs w:val="24"/>
        </w:rPr>
        <w:t xml:space="preserve"> </w:t>
      </w:r>
      <w:r w:rsidR="00105248" w:rsidRPr="00130490">
        <w:rPr>
          <w:i/>
          <w:iCs/>
          <w:sz w:val="24"/>
          <w:szCs w:val="24"/>
        </w:rPr>
        <w:t>and that he had been misrepresented in media reporting in March 2024</w:t>
      </w:r>
      <w:r w:rsidR="00105248" w:rsidRPr="00967894">
        <w:rPr>
          <w:sz w:val="24"/>
          <w:szCs w:val="24"/>
        </w:rPr>
        <w:t xml:space="preserve">”.  </w:t>
      </w:r>
      <w:r w:rsidR="00105248">
        <w:rPr>
          <w:sz w:val="24"/>
          <w:szCs w:val="24"/>
        </w:rPr>
        <w:t>(</w:t>
      </w:r>
      <w:r w:rsidR="00105248" w:rsidRPr="00967894">
        <w:rPr>
          <w:sz w:val="24"/>
          <w:szCs w:val="24"/>
        </w:rPr>
        <w:t>The alleged misrepresentation in media reporting does not add anything to “</w:t>
      </w:r>
      <w:r w:rsidR="00105248" w:rsidRPr="00130490">
        <w:rPr>
          <w:i/>
          <w:iCs/>
          <w:sz w:val="24"/>
          <w:szCs w:val="24"/>
        </w:rPr>
        <w:t>was not calling Hamas freedom fighters</w:t>
      </w:r>
      <w:r w:rsidR="00105248" w:rsidRPr="00967894">
        <w:rPr>
          <w:sz w:val="24"/>
          <w:szCs w:val="24"/>
        </w:rPr>
        <w:t>”</w:t>
      </w:r>
      <w:r w:rsidR="00105248">
        <w:rPr>
          <w:sz w:val="24"/>
          <w:szCs w:val="24"/>
        </w:rPr>
        <w:t>)</w:t>
      </w:r>
      <w:r w:rsidR="00105248" w:rsidRPr="00967894">
        <w:rPr>
          <w:sz w:val="24"/>
          <w:szCs w:val="24"/>
        </w:rPr>
        <w:t>.</w:t>
      </w:r>
      <w:r w:rsidR="00967894" w:rsidRPr="00967894">
        <w:rPr>
          <w:sz w:val="24"/>
          <w:szCs w:val="24"/>
        </w:rPr>
        <w:t xml:space="preserve">  </w:t>
      </w:r>
      <w:r w:rsidR="00E359EE">
        <w:rPr>
          <w:sz w:val="24"/>
          <w:szCs w:val="24"/>
        </w:rPr>
        <w:t xml:space="preserve">In the Judge’s reasons for refusing </w:t>
      </w:r>
      <w:r w:rsidR="00E359EE">
        <w:rPr>
          <w:sz w:val="24"/>
          <w:szCs w:val="24"/>
        </w:rPr>
        <w:lastRenderedPageBreak/>
        <w:t xml:space="preserve">permission </w:t>
      </w:r>
      <w:r>
        <w:rPr>
          <w:sz w:val="24"/>
          <w:szCs w:val="24"/>
        </w:rPr>
        <w:t xml:space="preserve">to </w:t>
      </w:r>
      <w:r w:rsidR="00E359EE">
        <w:rPr>
          <w:sz w:val="24"/>
          <w:szCs w:val="24"/>
        </w:rPr>
        <w:t xml:space="preserve">appeal he explained that this was </w:t>
      </w:r>
      <w:r w:rsidR="00105248" w:rsidRPr="00105248">
        <w:rPr>
          <w:sz w:val="24"/>
          <w:szCs w:val="24"/>
        </w:rPr>
        <w:t xml:space="preserve">because </w:t>
      </w:r>
      <w:r>
        <w:rPr>
          <w:sz w:val="24"/>
          <w:szCs w:val="24"/>
        </w:rPr>
        <w:t>“</w:t>
      </w:r>
      <w:r w:rsidR="00105248" w:rsidRPr="004B3EE1">
        <w:rPr>
          <w:i/>
          <w:iCs/>
          <w:sz w:val="24"/>
          <w:szCs w:val="24"/>
        </w:rPr>
        <w:t xml:space="preserve">these </w:t>
      </w:r>
      <w:r w:rsidRPr="004B3EE1">
        <w:rPr>
          <w:i/>
          <w:iCs/>
          <w:sz w:val="24"/>
          <w:szCs w:val="24"/>
        </w:rPr>
        <w:t>are matters that are</w:t>
      </w:r>
      <w:r>
        <w:rPr>
          <w:sz w:val="24"/>
          <w:szCs w:val="24"/>
        </w:rPr>
        <w:t xml:space="preserve"> </w:t>
      </w:r>
      <w:r w:rsidR="00105248" w:rsidRPr="00105248">
        <w:rPr>
          <w:i/>
          <w:iCs/>
          <w:sz w:val="24"/>
          <w:szCs w:val="24"/>
        </w:rPr>
        <w:t>capable of casting doubt upon the Defendant’s claim</w:t>
      </w:r>
      <w:r w:rsidR="00105248">
        <w:rPr>
          <w:sz w:val="24"/>
          <w:szCs w:val="24"/>
        </w:rPr>
        <w:t xml:space="preserve">” to have held the Opinion. </w:t>
      </w:r>
      <w:r w:rsidR="00042B9E">
        <w:rPr>
          <w:sz w:val="24"/>
          <w:szCs w:val="24"/>
        </w:rPr>
        <w:t>Th</w:t>
      </w:r>
      <w:r w:rsidR="008A0208">
        <w:rPr>
          <w:sz w:val="24"/>
          <w:szCs w:val="24"/>
        </w:rPr>
        <w:t xml:space="preserve">e Judge made the </w:t>
      </w:r>
      <w:r w:rsidR="00042B9E">
        <w:rPr>
          <w:sz w:val="24"/>
          <w:szCs w:val="24"/>
        </w:rPr>
        <w:t>following errors of principle.</w:t>
      </w:r>
    </w:p>
    <w:p w14:paraId="35D057C9" w14:textId="77777777" w:rsidR="00967894" w:rsidRPr="00967894" w:rsidRDefault="00967894" w:rsidP="00967894">
      <w:pPr>
        <w:pStyle w:val="ListParagraph"/>
        <w:spacing w:before="240" w:after="240" w:line="360" w:lineRule="auto"/>
        <w:ind w:left="360"/>
        <w:rPr>
          <w:sz w:val="24"/>
          <w:szCs w:val="24"/>
        </w:rPr>
      </w:pPr>
    </w:p>
    <w:p w14:paraId="7C271ACF" w14:textId="4944B508" w:rsidR="001A375E" w:rsidRDefault="00105248" w:rsidP="0072761F">
      <w:pPr>
        <w:pStyle w:val="ListParagraph"/>
        <w:numPr>
          <w:ilvl w:val="1"/>
          <w:numId w:val="1"/>
        </w:numPr>
        <w:spacing w:before="240" w:after="240" w:line="360" w:lineRule="auto"/>
        <w:rPr>
          <w:sz w:val="24"/>
          <w:szCs w:val="24"/>
        </w:rPr>
      </w:pPr>
      <w:r>
        <w:rPr>
          <w:sz w:val="24"/>
          <w:szCs w:val="24"/>
        </w:rPr>
        <w:t xml:space="preserve">The reasons were insufficient to sustain a </w:t>
      </w:r>
      <w:r w:rsidR="00EA4D26">
        <w:rPr>
          <w:sz w:val="24"/>
          <w:szCs w:val="24"/>
        </w:rPr>
        <w:t>s</w:t>
      </w:r>
      <w:r w:rsidR="00A33F1E" w:rsidRPr="002426A1">
        <w:rPr>
          <w:sz w:val="24"/>
          <w:szCs w:val="24"/>
        </w:rPr>
        <w:t xml:space="preserve">.3(5) </w:t>
      </w:r>
      <w:r>
        <w:rPr>
          <w:sz w:val="24"/>
          <w:szCs w:val="24"/>
        </w:rPr>
        <w:t xml:space="preserve">case. </w:t>
      </w:r>
      <w:r w:rsidR="00875E33">
        <w:rPr>
          <w:sz w:val="24"/>
          <w:szCs w:val="24"/>
        </w:rPr>
        <w:t xml:space="preserve">A fact can </w:t>
      </w:r>
      <w:r>
        <w:rPr>
          <w:sz w:val="24"/>
          <w:szCs w:val="24"/>
        </w:rPr>
        <w:t xml:space="preserve">only be relied </w:t>
      </w:r>
      <w:r w:rsidR="00EA4D26">
        <w:rPr>
          <w:sz w:val="24"/>
          <w:szCs w:val="24"/>
        </w:rPr>
        <w:t xml:space="preserve">on </w:t>
      </w:r>
      <w:r w:rsidR="00C30CE6">
        <w:rPr>
          <w:sz w:val="24"/>
          <w:szCs w:val="24"/>
        </w:rPr>
        <w:t xml:space="preserve">to sustain such a case </w:t>
      </w:r>
      <w:r>
        <w:rPr>
          <w:sz w:val="24"/>
          <w:szCs w:val="24"/>
        </w:rPr>
        <w:t>if it raise</w:t>
      </w:r>
      <w:r w:rsidR="00875E33">
        <w:rPr>
          <w:sz w:val="24"/>
          <w:szCs w:val="24"/>
        </w:rPr>
        <w:t>s</w:t>
      </w:r>
      <w:r>
        <w:rPr>
          <w:sz w:val="24"/>
          <w:szCs w:val="24"/>
        </w:rPr>
        <w:t xml:space="preserve"> the probability that the </w:t>
      </w:r>
      <w:r w:rsidR="00875E33">
        <w:rPr>
          <w:sz w:val="24"/>
          <w:szCs w:val="24"/>
        </w:rPr>
        <w:t>d</w:t>
      </w:r>
      <w:r>
        <w:rPr>
          <w:sz w:val="24"/>
          <w:szCs w:val="24"/>
        </w:rPr>
        <w:t xml:space="preserve">efendant did not hold the </w:t>
      </w:r>
      <w:r w:rsidR="00875E33">
        <w:rPr>
          <w:sz w:val="24"/>
          <w:szCs w:val="24"/>
        </w:rPr>
        <w:t>o</w:t>
      </w:r>
      <w:r>
        <w:rPr>
          <w:sz w:val="24"/>
          <w:szCs w:val="24"/>
        </w:rPr>
        <w:t>pinion</w:t>
      </w:r>
      <w:r w:rsidR="00875E33">
        <w:rPr>
          <w:sz w:val="24"/>
          <w:szCs w:val="24"/>
        </w:rPr>
        <w:t xml:space="preserve"> (“the probability test”</w:t>
      </w:r>
      <w:r w:rsidR="00F73A81">
        <w:rPr>
          <w:sz w:val="24"/>
          <w:szCs w:val="24"/>
        </w:rPr>
        <w:t>)</w:t>
      </w:r>
      <w:r>
        <w:rPr>
          <w:sz w:val="24"/>
          <w:szCs w:val="24"/>
        </w:rPr>
        <w:t xml:space="preserve">. </w:t>
      </w:r>
      <w:r w:rsidR="00875E33">
        <w:rPr>
          <w:sz w:val="24"/>
          <w:szCs w:val="24"/>
        </w:rPr>
        <w:t xml:space="preserve"> This is more onerous than the “</w:t>
      </w:r>
      <w:r w:rsidR="00875E33" w:rsidRPr="00875E33">
        <w:rPr>
          <w:i/>
          <w:iCs/>
          <w:sz w:val="24"/>
          <w:szCs w:val="24"/>
        </w:rPr>
        <w:t>properly arguable</w:t>
      </w:r>
      <w:r w:rsidR="00875E33">
        <w:rPr>
          <w:sz w:val="24"/>
          <w:szCs w:val="24"/>
        </w:rPr>
        <w:t>” and “</w:t>
      </w:r>
      <w:r w:rsidR="00875E33" w:rsidRPr="00875E33">
        <w:rPr>
          <w:i/>
          <w:iCs/>
          <w:sz w:val="24"/>
          <w:szCs w:val="24"/>
        </w:rPr>
        <w:t>capable</w:t>
      </w:r>
      <w:r w:rsidR="00875E33">
        <w:rPr>
          <w:sz w:val="24"/>
          <w:szCs w:val="24"/>
        </w:rPr>
        <w:t>”</w:t>
      </w:r>
      <w:r w:rsidR="001A375E">
        <w:rPr>
          <w:sz w:val="24"/>
          <w:szCs w:val="24"/>
        </w:rPr>
        <w:t xml:space="preserve"> tests referred to by the Judge</w:t>
      </w:r>
      <w:r w:rsidR="00F73A81">
        <w:rPr>
          <w:sz w:val="24"/>
          <w:szCs w:val="24"/>
        </w:rPr>
        <w:t xml:space="preserve">. </w:t>
      </w:r>
    </w:p>
    <w:p w14:paraId="40C0878C" w14:textId="77777777" w:rsidR="001A375E" w:rsidRDefault="001A375E" w:rsidP="001A375E">
      <w:pPr>
        <w:pStyle w:val="ListParagraph"/>
        <w:spacing w:before="240" w:after="240" w:line="360" w:lineRule="auto"/>
        <w:ind w:left="792"/>
        <w:rPr>
          <w:sz w:val="24"/>
          <w:szCs w:val="24"/>
        </w:rPr>
      </w:pPr>
    </w:p>
    <w:p w14:paraId="121B7840" w14:textId="20150594" w:rsidR="00F73A81" w:rsidRPr="001A375E" w:rsidRDefault="00F73A81" w:rsidP="00695372">
      <w:pPr>
        <w:pStyle w:val="ListParagraph"/>
        <w:numPr>
          <w:ilvl w:val="1"/>
          <w:numId w:val="1"/>
        </w:numPr>
        <w:spacing w:before="240" w:after="240" w:line="360" w:lineRule="auto"/>
        <w:rPr>
          <w:sz w:val="24"/>
          <w:szCs w:val="24"/>
        </w:rPr>
      </w:pPr>
      <w:r w:rsidRPr="001A375E">
        <w:rPr>
          <w:sz w:val="24"/>
          <w:szCs w:val="24"/>
        </w:rPr>
        <w:t xml:space="preserve">The Judge did not find that the Interview raised the probability of the Defendant not holding the Opinion.  It would not have been open to him to do so. The Answer in the context of the Interview as a whole, was, at least, equally consistent with the Defendant holding the Opinion.  The </w:t>
      </w:r>
      <w:r w:rsidR="0044181D">
        <w:rPr>
          <w:sz w:val="24"/>
          <w:szCs w:val="24"/>
        </w:rPr>
        <w:t xml:space="preserve">Judge’s </w:t>
      </w:r>
      <w:r w:rsidRPr="001A375E">
        <w:rPr>
          <w:sz w:val="24"/>
          <w:szCs w:val="24"/>
        </w:rPr>
        <w:t xml:space="preserve">finding that it was properly arguable that the Defendant ought to have realised </w:t>
      </w:r>
      <w:r w:rsidR="0044181D">
        <w:rPr>
          <w:sz w:val="24"/>
          <w:szCs w:val="24"/>
        </w:rPr>
        <w:t>that the Opinion was false</w:t>
      </w:r>
      <w:r w:rsidR="00EA4D26">
        <w:rPr>
          <w:sz w:val="24"/>
          <w:szCs w:val="24"/>
        </w:rPr>
        <w:t xml:space="preserve"> </w:t>
      </w:r>
      <w:r w:rsidR="0044181D">
        <w:rPr>
          <w:sz w:val="24"/>
          <w:szCs w:val="24"/>
        </w:rPr>
        <w:t xml:space="preserve">was </w:t>
      </w:r>
      <w:r w:rsidR="001A375E" w:rsidRPr="001A375E">
        <w:rPr>
          <w:sz w:val="24"/>
          <w:szCs w:val="24"/>
        </w:rPr>
        <w:t>incapable of satisfying the probability test</w:t>
      </w:r>
      <w:r w:rsidR="00EA4D26">
        <w:rPr>
          <w:sz w:val="24"/>
          <w:szCs w:val="24"/>
        </w:rPr>
        <w:t>,</w:t>
      </w:r>
      <w:r w:rsidR="001A375E">
        <w:rPr>
          <w:sz w:val="24"/>
          <w:szCs w:val="24"/>
        </w:rPr>
        <w:t xml:space="preserve"> as </w:t>
      </w:r>
      <w:r w:rsidR="0044181D">
        <w:rPr>
          <w:sz w:val="24"/>
          <w:szCs w:val="24"/>
        </w:rPr>
        <w:t xml:space="preserve">it was </w:t>
      </w:r>
      <w:r w:rsidR="001A375E">
        <w:rPr>
          <w:sz w:val="24"/>
          <w:szCs w:val="24"/>
        </w:rPr>
        <w:t xml:space="preserve">equally consistent with the Defendant </w:t>
      </w:r>
      <w:r w:rsidR="00B40193">
        <w:rPr>
          <w:sz w:val="24"/>
          <w:szCs w:val="24"/>
        </w:rPr>
        <w:t xml:space="preserve">honestly </w:t>
      </w:r>
      <w:r w:rsidR="001A375E">
        <w:rPr>
          <w:sz w:val="24"/>
          <w:szCs w:val="24"/>
        </w:rPr>
        <w:t xml:space="preserve">interpreting the Interview differently to the Judge, even if </w:t>
      </w:r>
      <w:r w:rsidR="00EA4D26">
        <w:rPr>
          <w:sz w:val="24"/>
          <w:szCs w:val="24"/>
        </w:rPr>
        <w:t xml:space="preserve">the Defendant’s </w:t>
      </w:r>
      <w:r w:rsidR="001A375E">
        <w:rPr>
          <w:sz w:val="24"/>
          <w:szCs w:val="24"/>
        </w:rPr>
        <w:t>interpretation could be characterised as unreasonable</w:t>
      </w:r>
      <w:r w:rsidR="00EA4D26">
        <w:rPr>
          <w:sz w:val="24"/>
          <w:szCs w:val="24"/>
        </w:rPr>
        <w:t xml:space="preserve"> (and the Judge made no specific finding to this effect). </w:t>
      </w:r>
    </w:p>
    <w:p w14:paraId="15DE03DA" w14:textId="77777777" w:rsidR="00613BEB" w:rsidRDefault="00613BEB" w:rsidP="00613BEB">
      <w:pPr>
        <w:pStyle w:val="ListParagraph"/>
        <w:spacing w:before="240" w:after="240" w:line="360" w:lineRule="auto"/>
        <w:ind w:left="792"/>
        <w:rPr>
          <w:sz w:val="24"/>
          <w:szCs w:val="24"/>
        </w:rPr>
      </w:pPr>
    </w:p>
    <w:p w14:paraId="21CE405A" w14:textId="1EE4F5B4" w:rsidR="00613BEB" w:rsidRDefault="00613BEB" w:rsidP="00613BEB">
      <w:pPr>
        <w:pStyle w:val="ListParagraph"/>
        <w:numPr>
          <w:ilvl w:val="1"/>
          <w:numId w:val="1"/>
        </w:numPr>
        <w:spacing w:before="240" w:after="240" w:line="360" w:lineRule="auto"/>
        <w:rPr>
          <w:sz w:val="24"/>
          <w:szCs w:val="24"/>
        </w:rPr>
      </w:pPr>
      <w:r w:rsidRPr="00967894">
        <w:rPr>
          <w:sz w:val="24"/>
          <w:szCs w:val="24"/>
        </w:rPr>
        <w:t xml:space="preserve">It follows </w:t>
      </w:r>
      <w:r>
        <w:rPr>
          <w:sz w:val="24"/>
          <w:szCs w:val="24"/>
        </w:rPr>
        <w:t xml:space="preserve">from the above </w:t>
      </w:r>
      <w:r w:rsidRPr="00967894">
        <w:rPr>
          <w:sz w:val="24"/>
          <w:szCs w:val="24"/>
        </w:rPr>
        <w:t xml:space="preserve">that it was not necessary for the Defendant to give any evidence </w:t>
      </w:r>
      <w:r>
        <w:rPr>
          <w:sz w:val="24"/>
          <w:szCs w:val="24"/>
        </w:rPr>
        <w:t xml:space="preserve">as to </w:t>
      </w:r>
      <w:r w:rsidRPr="00967894">
        <w:rPr>
          <w:sz w:val="24"/>
          <w:szCs w:val="24"/>
        </w:rPr>
        <w:t xml:space="preserve">his </w:t>
      </w:r>
      <w:r>
        <w:rPr>
          <w:sz w:val="24"/>
          <w:szCs w:val="24"/>
        </w:rPr>
        <w:t>interpretation of the Interview</w:t>
      </w:r>
      <w:r w:rsidRPr="00967894">
        <w:rPr>
          <w:sz w:val="24"/>
          <w:szCs w:val="24"/>
        </w:rPr>
        <w:t>.  Further or alternatively,</w:t>
      </w:r>
      <w:r>
        <w:rPr>
          <w:sz w:val="24"/>
          <w:szCs w:val="24"/>
        </w:rPr>
        <w:t xml:space="preserve"> the Judge was wrong to </w:t>
      </w:r>
      <w:r w:rsidR="00912B58">
        <w:rPr>
          <w:sz w:val="24"/>
          <w:szCs w:val="24"/>
        </w:rPr>
        <w:t xml:space="preserve">suggest </w:t>
      </w:r>
      <w:r>
        <w:rPr>
          <w:sz w:val="24"/>
          <w:szCs w:val="24"/>
        </w:rPr>
        <w:t>at paragraph 8</w:t>
      </w:r>
      <w:r w:rsidR="00912B58">
        <w:rPr>
          <w:sz w:val="24"/>
          <w:szCs w:val="24"/>
        </w:rPr>
        <w:t>6</w:t>
      </w:r>
      <w:r>
        <w:rPr>
          <w:sz w:val="24"/>
          <w:szCs w:val="24"/>
        </w:rPr>
        <w:t xml:space="preserve"> that the </w:t>
      </w:r>
      <w:r w:rsidR="00215C0C">
        <w:rPr>
          <w:sz w:val="24"/>
          <w:szCs w:val="24"/>
        </w:rPr>
        <w:t xml:space="preserve">Defendant’s witness </w:t>
      </w:r>
      <w:r>
        <w:rPr>
          <w:sz w:val="24"/>
          <w:szCs w:val="24"/>
        </w:rPr>
        <w:t xml:space="preserve">statement only referred to the </w:t>
      </w:r>
      <w:r w:rsidR="00AB5218">
        <w:rPr>
          <w:sz w:val="24"/>
          <w:szCs w:val="24"/>
        </w:rPr>
        <w:t>Segment</w:t>
      </w:r>
      <w:r>
        <w:rPr>
          <w:sz w:val="24"/>
          <w:szCs w:val="24"/>
        </w:rPr>
        <w:t xml:space="preserve">.  </w:t>
      </w:r>
      <w:r w:rsidR="00C30CE6">
        <w:rPr>
          <w:sz w:val="24"/>
          <w:szCs w:val="24"/>
        </w:rPr>
        <w:t xml:space="preserve">It </w:t>
      </w:r>
      <w:r>
        <w:rPr>
          <w:sz w:val="24"/>
          <w:szCs w:val="24"/>
        </w:rPr>
        <w:t xml:space="preserve">also addressed the other parts </w:t>
      </w:r>
      <w:r w:rsidR="00EA4D26">
        <w:rPr>
          <w:sz w:val="24"/>
          <w:szCs w:val="24"/>
        </w:rPr>
        <w:t xml:space="preserve">of the Interview </w:t>
      </w:r>
      <w:r>
        <w:rPr>
          <w:sz w:val="24"/>
          <w:szCs w:val="24"/>
        </w:rPr>
        <w:t>relied on by the Claimant.  T</w:t>
      </w:r>
      <w:r w:rsidRPr="00967894">
        <w:rPr>
          <w:sz w:val="24"/>
          <w:szCs w:val="24"/>
        </w:rPr>
        <w:t xml:space="preserve">he </w:t>
      </w:r>
      <w:r>
        <w:rPr>
          <w:sz w:val="24"/>
          <w:szCs w:val="24"/>
        </w:rPr>
        <w:t xml:space="preserve">Defendant’s </w:t>
      </w:r>
      <w:bookmarkStart w:id="2" w:name="_Hlk193971284"/>
      <w:r w:rsidRPr="00967894">
        <w:rPr>
          <w:sz w:val="24"/>
          <w:szCs w:val="24"/>
        </w:rPr>
        <w:t xml:space="preserve">explanation </w:t>
      </w:r>
      <w:r>
        <w:rPr>
          <w:sz w:val="24"/>
          <w:szCs w:val="24"/>
        </w:rPr>
        <w:t xml:space="preserve">as to why he held the Opinion is </w:t>
      </w:r>
      <w:r w:rsidRPr="00967894">
        <w:rPr>
          <w:sz w:val="24"/>
          <w:szCs w:val="24"/>
        </w:rPr>
        <w:t xml:space="preserve">credible and the prospect of it being disbelieved at trial is fanciful.  </w:t>
      </w:r>
      <w:bookmarkEnd w:id="2"/>
    </w:p>
    <w:p w14:paraId="64EA2A6E" w14:textId="75C22183" w:rsidR="00613BEB" w:rsidRPr="00E11137" w:rsidRDefault="00613BEB" w:rsidP="00613BEB">
      <w:pPr>
        <w:pStyle w:val="ListParagraph"/>
        <w:spacing w:before="240" w:after="240" w:line="360" w:lineRule="auto"/>
        <w:ind w:left="792"/>
        <w:rPr>
          <w:sz w:val="24"/>
          <w:szCs w:val="24"/>
        </w:rPr>
      </w:pPr>
    </w:p>
    <w:p w14:paraId="21DADFBD" w14:textId="25F268B7" w:rsidR="005404BB" w:rsidRDefault="00541D09" w:rsidP="009B12A0">
      <w:pPr>
        <w:pStyle w:val="ListParagraph"/>
        <w:numPr>
          <w:ilvl w:val="0"/>
          <w:numId w:val="1"/>
        </w:numPr>
        <w:spacing w:before="240" w:after="240" w:line="360" w:lineRule="auto"/>
        <w:rPr>
          <w:sz w:val="24"/>
          <w:szCs w:val="24"/>
        </w:rPr>
      </w:pPr>
      <w:r w:rsidRPr="0044181D">
        <w:rPr>
          <w:sz w:val="24"/>
          <w:szCs w:val="24"/>
        </w:rPr>
        <w:t>Further or alternatively</w:t>
      </w:r>
      <w:r w:rsidR="001A375E" w:rsidRPr="0044181D">
        <w:rPr>
          <w:sz w:val="24"/>
          <w:szCs w:val="24"/>
        </w:rPr>
        <w:t xml:space="preserve">, </w:t>
      </w:r>
      <w:r w:rsidR="0044181D" w:rsidRPr="0044181D">
        <w:rPr>
          <w:sz w:val="24"/>
          <w:szCs w:val="24"/>
        </w:rPr>
        <w:t xml:space="preserve">the Judge was wrong to find that it was properly arguable that the Defendant ought to have realised that the Opinion was false. </w:t>
      </w:r>
      <w:r w:rsidRPr="0044181D">
        <w:rPr>
          <w:sz w:val="24"/>
          <w:szCs w:val="24"/>
        </w:rPr>
        <w:t xml:space="preserve"> </w:t>
      </w:r>
      <w:r w:rsidR="00EA4D26">
        <w:rPr>
          <w:sz w:val="24"/>
          <w:szCs w:val="24"/>
        </w:rPr>
        <w:t xml:space="preserve">The </w:t>
      </w:r>
      <w:r w:rsidR="00EA4D26" w:rsidRPr="0044181D">
        <w:rPr>
          <w:sz w:val="24"/>
          <w:szCs w:val="24"/>
        </w:rPr>
        <w:t>Opinion was a reasonable interpretation of the Answer in the context of the Interview.</w:t>
      </w:r>
      <w:r w:rsidR="00EA4D26">
        <w:rPr>
          <w:sz w:val="24"/>
          <w:szCs w:val="24"/>
        </w:rPr>
        <w:t xml:space="preserve"> </w:t>
      </w:r>
      <w:r w:rsidR="00C30CE6">
        <w:rPr>
          <w:sz w:val="24"/>
          <w:szCs w:val="24"/>
        </w:rPr>
        <w:t xml:space="preserve">The finding was evidently based on the Judge’s interpretation of the Interview for the purposes of s.2, as set out in paragraph 134.  This involved </w:t>
      </w:r>
      <w:r w:rsidR="000A56D9" w:rsidRPr="0044181D">
        <w:rPr>
          <w:sz w:val="24"/>
          <w:szCs w:val="24"/>
        </w:rPr>
        <w:t>identifiabl</w:t>
      </w:r>
      <w:r w:rsidR="00B65E48">
        <w:rPr>
          <w:sz w:val="24"/>
          <w:szCs w:val="24"/>
        </w:rPr>
        <w:t>e</w:t>
      </w:r>
      <w:r w:rsidR="000A56D9" w:rsidRPr="0044181D">
        <w:rPr>
          <w:sz w:val="24"/>
          <w:szCs w:val="24"/>
        </w:rPr>
        <w:t xml:space="preserve"> flaw</w:t>
      </w:r>
      <w:r w:rsidR="00B65E48">
        <w:rPr>
          <w:sz w:val="24"/>
          <w:szCs w:val="24"/>
        </w:rPr>
        <w:t>s.</w:t>
      </w:r>
      <w:r w:rsidR="00943BF2" w:rsidRPr="0044181D">
        <w:rPr>
          <w:sz w:val="24"/>
          <w:szCs w:val="24"/>
        </w:rPr>
        <w:t xml:space="preserve">  </w:t>
      </w:r>
    </w:p>
    <w:p w14:paraId="5D86CE99" w14:textId="77777777" w:rsidR="0044181D" w:rsidRPr="0044181D" w:rsidRDefault="0044181D" w:rsidP="0044181D">
      <w:pPr>
        <w:pStyle w:val="ListParagraph"/>
        <w:spacing w:before="240" w:after="240" w:line="360" w:lineRule="auto"/>
        <w:ind w:left="360"/>
        <w:rPr>
          <w:sz w:val="24"/>
          <w:szCs w:val="24"/>
        </w:rPr>
      </w:pPr>
    </w:p>
    <w:p w14:paraId="4C1673F4" w14:textId="1AC0CE9B" w:rsidR="00B13734" w:rsidRDefault="000A56D9" w:rsidP="00B13734">
      <w:pPr>
        <w:pStyle w:val="ListParagraph"/>
        <w:numPr>
          <w:ilvl w:val="1"/>
          <w:numId w:val="1"/>
        </w:numPr>
        <w:spacing w:before="240" w:after="240" w:line="360" w:lineRule="auto"/>
        <w:rPr>
          <w:sz w:val="24"/>
          <w:szCs w:val="24"/>
        </w:rPr>
      </w:pPr>
      <w:r w:rsidRPr="00967894">
        <w:rPr>
          <w:sz w:val="24"/>
          <w:szCs w:val="24"/>
        </w:rPr>
        <w:lastRenderedPageBreak/>
        <w:t>The observations as to the use of the “</w:t>
      </w:r>
      <w:r w:rsidRPr="008F2B7C">
        <w:rPr>
          <w:i/>
          <w:iCs/>
          <w:sz w:val="24"/>
          <w:szCs w:val="24"/>
        </w:rPr>
        <w:t>cliché</w:t>
      </w:r>
      <w:r w:rsidRPr="00967894">
        <w:rPr>
          <w:sz w:val="24"/>
          <w:szCs w:val="24"/>
        </w:rPr>
        <w:t xml:space="preserve">” are superficial.  They fail to take into account the more focused case on its established meaning and use as pleaded in </w:t>
      </w:r>
      <w:r w:rsidR="00696CE1">
        <w:rPr>
          <w:sz w:val="24"/>
          <w:szCs w:val="24"/>
        </w:rPr>
        <w:t xml:space="preserve">paragraph 2.4 of the </w:t>
      </w:r>
      <w:r w:rsidRPr="00967894">
        <w:rPr>
          <w:sz w:val="24"/>
          <w:szCs w:val="24"/>
        </w:rPr>
        <w:t xml:space="preserve">draft Defence and the context in which </w:t>
      </w:r>
      <w:r>
        <w:rPr>
          <w:sz w:val="24"/>
          <w:szCs w:val="24"/>
        </w:rPr>
        <w:t xml:space="preserve">the </w:t>
      </w:r>
      <w:r w:rsidRPr="00967894">
        <w:rPr>
          <w:sz w:val="24"/>
          <w:szCs w:val="24"/>
        </w:rPr>
        <w:t xml:space="preserve">Answer was given.  The Claimant had compared the situation to Ukraine and </w:t>
      </w:r>
      <w:r w:rsidR="008F2B7C">
        <w:rPr>
          <w:sz w:val="24"/>
          <w:szCs w:val="24"/>
        </w:rPr>
        <w:t xml:space="preserve">twice </w:t>
      </w:r>
      <w:r w:rsidRPr="00967894">
        <w:rPr>
          <w:sz w:val="24"/>
          <w:szCs w:val="24"/>
        </w:rPr>
        <w:t>asserted a “</w:t>
      </w:r>
      <w:r w:rsidRPr="005404BB">
        <w:rPr>
          <w:i/>
          <w:iCs/>
          <w:sz w:val="24"/>
          <w:szCs w:val="24"/>
        </w:rPr>
        <w:t>right to defend</w:t>
      </w:r>
      <w:r w:rsidRPr="00967894">
        <w:rPr>
          <w:sz w:val="24"/>
          <w:szCs w:val="24"/>
        </w:rPr>
        <w:t>”. This went beyond mere “</w:t>
      </w:r>
      <w:r w:rsidRPr="005404BB">
        <w:rPr>
          <w:i/>
          <w:iCs/>
          <w:sz w:val="24"/>
          <w:szCs w:val="24"/>
        </w:rPr>
        <w:t>sympathy with the broader Palestinian cause</w:t>
      </w:r>
      <w:r w:rsidRPr="00967894">
        <w:rPr>
          <w:sz w:val="24"/>
          <w:szCs w:val="24"/>
        </w:rPr>
        <w:t xml:space="preserve">”. </w:t>
      </w:r>
    </w:p>
    <w:p w14:paraId="6EEE9202" w14:textId="77777777" w:rsidR="00B13734" w:rsidRDefault="00B13734" w:rsidP="00B13734">
      <w:pPr>
        <w:pStyle w:val="ListParagraph"/>
        <w:spacing w:before="240" w:after="240" w:line="360" w:lineRule="auto"/>
        <w:ind w:left="792"/>
        <w:rPr>
          <w:sz w:val="24"/>
          <w:szCs w:val="24"/>
        </w:rPr>
      </w:pPr>
    </w:p>
    <w:p w14:paraId="289C94D4" w14:textId="7AC6DA41" w:rsidR="00B13734" w:rsidRDefault="000A56D9" w:rsidP="00B13734">
      <w:pPr>
        <w:pStyle w:val="ListParagraph"/>
        <w:numPr>
          <w:ilvl w:val="1"/>
          <w:numId w:val="1"/>
        </w:numPr>
        <w:spacing w:before="240" w:after="240" w:line="360" w:lineRule="auto"/>
        <w:rPr>
          <w:sz w:val="24"/>
          <w:szCs w:val="24"/>
        </w:rPr>
      </w:pPr>
      <w:r w:rsidRPr="00B13734">
        <w:rPr>
          <w:sz w:val="24"/>
          <w:szCs w:val="24"/>
        </w:rPr>
        <w:t xml:space="preserve">As noted in </w:t>
      </w:r>
      <w:r w:rsidR="00696CE1">
        <w:rPr>
          <w:sz w:val="24"/>
          <w:szCs w:val="24"/>
        </w:rPr>
        <w:t xml:space="preserve">paragraph 18 in the schedule to the </w:t>
      </w:r>
      <w:r w:rsidRPr="00B13734">
        <w:rPr>
          <w:sz w:val="24"/>
          <w:szCs w:val="24"/>
        </w:rPr>
        <w:t xml:space="preserve">Defence, the </w:t>
      </w:r>
      <w:r w:rsidR="008F2B7C">
        <w:rPr>
          <w:sz w:val="24"/>
          <w:szCs w:val="24"/>
        </w:rPr>
        <w:t>Q</w:t>
      </w:r>
      <w:r w:rsidRPr="00B13734">
        <w:rPr>
          <w:sz w:val="24"/>
          <w:szCs w:val="24"/>
        </w:rPr>
        <w:t xml:space="preserve">uestion invited the Claimant to draw a distinction between self-defence and terrorism in the context of the very recent Hamas Attack. A person who regarded Hamas to be terrorists would draw such a distinction and/or condemn Hamas and/or the Hamas Attack.  The Claimant's failure to do so would, therefore, be seen as significant by a viewer. Instead, the Claimant used the cliché, consistent with its general use, to avoid stating that Hamas are terrorists and/or that the Hamas Attack was terrorism. Combined with the Claimant's assertion of a right to defend and </w:t>
      </w:r>
      <w:r w:rsidR="00B40193">
        <w:rPr>
          <w:sz w:val="24"/>
          <w:szCs w:val="24"/>
        </w:rPr>
        <w:t xml:space="preserve">strong </w:t>
      </w:r>
      <w:r w:rsidRPr="00B13734">
        <w:rPr>
          <w:sz w:val="24"/>
          <w:szCs w:val="24"/>
        </w:rPr>
        <w:t>support for the cause, a reasonable interpretation of the Answer is that it characterised Hamas as freedom fighters.</w:t>
      </w:r>
    </w:p>
    <w:p w14:paraId="1A0643FD" w14:textId="77777777" w:rsidR="00B13734" w:rsidRPr="00B13734" w:rsidRDefault="00B13734" w:rsidP="00B13734">
      <w:pPr>
        <w:pStyle w:val="ListParagraph"/>
        <w:rPr>
          <w:sz w:val="24"/>
          <w:szCs w:val="24"/>
        </w:rPr>
      </w:pPr>
    </w:p>
    <w:p w14:paraId="27C10A67" w14:textId="77777777" w:rsidR="00B13734" w:rsidRDefault="000A56D9" w:rsidP="00B13734">
      <w:pPr>
        <w:pStyle w:val="ListParagraph"/>
        <w:numPr>
          <w:ilvl w:val="1"/>
          <w:numId w:val="1"/>
        </w:numPr>
        <w:spacing w:before="240" w:after="240" w:line="360" w:lineRule="auto"/>
        <w:rPr>
          <w:sz w:val="24"/>
          <w:szCs w:val="24"/>
        </w:rPr>
      </w:pPr>
      <w:r w:rsidRPr="00B13734">
        <w:rPr>
          <w:sz w:val="24"/>
          <w:szCs w:val="24"/>
        </w:rPr>
        <w:t>Further the Judge’s observation that “</w:t>
      </w:r>
      <w:r w:rsidRPr="00B13734">
        <w:rPr>
          <w:i/>
          <w:iCs/>
          <w:sz w:val="24"/>
          <w:szCs w:val="24"/>
        </w:rPr>
        <w:t>those viewing the dispute through the Palestinian lens might regard them as freedom fighters</w:t>
      </w:r>
      <w:r w:rsidRPr="00B13734">
        <w:rPr>
          <w:sz w:val="24"/>
          <w:szCs w:val="24"/>
        </w:rPr>
        <w:t xml:space="preserve">” was inconsistent with his overall finding. The Interview demonstrated that the Claimant was such a person. </w:t>
      </w:r>
    </w:p>
    <w:p w14:paraId="33B8EC28" w14:textId="77777777" w:rsidR="00B13734" w:rsidRPr="00B13734" w:rsidRDefault="00B13734" w:rsidP="00B13734">
      <w:pPr>
        <w:pStyle w:val="ListParagraph"/>
        <w:rPr>
          <w:sz w:val="24"/>
          <w:szCs w:val="24"/>
        </w:rPr>
      </w:pPr>
    </w:p>
    <w:p w14:paraId="13606531" w14:textId="0277816E" w:rsidR="00B13734" w:rsidRDefault="000A56D9" w:rsidP="00B13734">
      <w:pPr>
        <w:pStyle w:val="ListParagraph"/>
        <w:numPr>
          <w:ilvl w:val="1"/>
          <w:numId w:val="1"/>
        </w:numPr>
        <w:spacing w:before="240" w:after="240" w:line="360" w:lineRule="auto"/>
        <w:rPr>
          <w:sz w:val="24"/>
          <w:szCs w:val="24"/>
        </w:rPr>
      </w:pPr>
      <w:r w:rsidRPr="00B13734">
        <w:rPr>
          <w:sz w:val="24"/>
          <w:szCs w:val="24"/>
        </w:rPr>
        <w:t xml:space="preserve">The Judge’s reliance on the Claimant’s initial and hesitant agreement with Labour’s position was also identifiably flawed. Immediately after the Answer it was put to the Claimant that it was the opposite of Labour’s position, with which he agreed. </w:t>
      </w:r>
      <w:r w:rsidR="00B2132D" w:rsidRPr="00B13734">
        <w:rPr>
          <w:sz w:val="24"/>
          <w:szCs w:val="24"/>
        </w:rPr>
        <w:t xml:space="preserve">This was not referred to in </w:t>
      </w:r>
      <w:r w:rsidR="00B2132D">
        <w:rPr>
          <w:sz w:val="24"/>
          <w:szCs w:val="24"/>
        </w:rPr>
        <w:t xml:space="preserve">paragraph </w:t>
      </w:r>
      <w:r w:rsidR="00B2132D" w:rsidRPr="00B13734">
        <w:rPr>
          <w:sz w:val="24"/>
          <w:szCs w:val="24"/>
        </w:rPr>
        <w:t xml:space="preserve">134.  </w:t>
      </w:r>
      <w:r w:rsidRPr="00B13734">
        <w:rPr>
          <w:sz w:val="24"/>
          <w:szCs w:val="24"/>
        </w:rPr>
        <w:t xml:space="preserve">The Judge did not engage with the obviously well-founded points made in </w:t>
      </w:r>
      <w:r w:rsidR="00883C7A">
        <w:rPr>
          <w:sz w:val="24"/>
          <w:szCs w:val="24"/>
        </w:rPr>
        <w:t xml:space="preserve">paragraph 2.6.1 of the </w:t>
      </w:r>
      <w:r w:rsidRPr="00B13734">
        <w:rPr>
          <w:sz w:val="24"/>
          <w:szCs w:val="24"/>
        </w:rPr>
        <w:t xml:space="preserve">draft Defence in this regard.  It was reasonable for a viewer to take the Claimant at his word when he acknowledged that the Answer was the opposite of Labour’s position and stated that this was his view and how he felt. This was far more convincing than his initial agreement with Labour’s position. </w:t>
      </w:r>
    </w:p>
    <w:p w14:paraId="7416B348" w14:textId="77777777" w:rsidR="00B13734" w:rsidRPr="00B13734" w:rsidRDefault="00B13734" w:rsidP="00B13734">
      <w:pPr>
        <w:pStyle w:val="ListParagraph"/>
        <w:rPr>
          <w:sz w:val="24"/>
          <w:szCs w:val="24"/>
        </w:rPr>
      </w:pPr>
    </w:p>
    <w:p w14:paraId="44883FC5" w14:textId="32A17864" w:rsidR="000A56D9" w:rsidRPr="00B13734" w:rsidRDefault="000A56D9" w:rsidP="00B13734">
      <w:pPr>
        <w:pStyle w:val="ListParagraph"/>
        <w:numPr>
          <w:ilvl w:val="1"/>
          <w:numId w:val="1"/>
        </w:numPr>
        <w:spacing w:before="240" w:after="240" w:line="360" w:lineRule="auto"/>
        <w:rPr>
          <w:sz w:val="24"/>
          <w:szCs w:val="24"/>
        </w:rPr>
      </w:pPr>
      <w:r w:rsidRPr="00B13734">
        <w:rPr>
          <w:sz w:val="24"/>
          <w:szCs w:val="24"/>
        </w:rPr>
        <w:t xml:space="preserve">The Claimant also relied on the statement at the end of the Interview that he did not support the Hamas Attack.  </w:t>
      </w:r>
      <w:r w:rsidR="00B2132D">
        <w:rPr>
          <w:sz w:val="24"/>
          <w:szCs w:val="24"/>
        </w:rPr>
        <w:t xml:space="preserve">This was noted in paragraphs 107 and </w:t>
      </w:r>
      <w:r w:rsidR="00B2132D">
        <w:rPr>
          <w:sz w:val="24"/>
          <w:szCs w:val="24"/>
        </w:rPr>
        <w:lastRenderedPageBreak/>
        <w:t xml:space="preserve">117.2, but not </w:t>
      </w:r>
      <w:r w:rsidR="005730CE">
        <w:rPr>
          <w:sz w:val="24"/>
          <w:szCs w:val="24"/>
        </w:rPr>
        <w:t xml:space="preserve">mentioned in </w:t>
      </w:r>
      <w:r w:rsidR="00B2132D">
        <w:rPr>
          <w:sz w:val="24"/>
          <w:szCs w:val="24"/>
        </w:rPr>
        <w:t>paragraph 134</w:t>
      </w:r>
      <w:r w:rsidR="005730CE">
        <w:rPr>
          <w:sz w:val="24"/>
          <w:szCs w:val="24"/>
        </w:rPr>
        <w:t>.</w:t>
      </w:r>
      <w:r w:rsidR="00B2132D">
        <w:rPr>
          <w:sz w:val="24"/>
          <w:szCs w:val="24"/>
        </w:rPr>
        <w:t xml:space="preserve"> </w:t>
      </w:r>
      <w:r w:rsidR="00B13734">
        <w:rPr>
          <w:sz w:val="24"/>
          <w:szCs w:val="24"/>
        </w:rPr>
        <w:t xml:space="preserve">The Judge had rejected the Claimant’s case on meaning to the effect that calling Hamas freedom fighters involved endorsement or support of their acts and accepted the Defendant’s case that it amounted to acting as an apologist.  For this and the </w:t>
      </w:r>
      <w:r w:rsidRPr="00B13734">
        <w:rPr>
          <w:sz w:val="24"/>
          <w:szCs w:val="24"/>
        </w:rPr>
        <w:t xml:space="preserve">reasons stated in </w:t>
      </w:r>
      <w:r w:rsidR="00883C7A">
        <w:rPr>
          <w:sz w:val="24"/>
          <w:szCs w:val="24"/>
        </w:rPr>
        <w:t xml:space="preserve">paragraph 2.6.2 of the </w:t>
      </w:r>
      <w:r w:rsidRPr="00B13734">
        <w:rPr>
          <w:sz w:val="24"/>
          <w:szCs w:val="24"/>
        </w:rPr>
        <w:t xml:space="preserve">Defence and </w:t>
      </w:r>
      <w:r w:rsidR="00883C7A">
        <w:rPr>
          <w:sz w:val="24"/>
          <w:szCs w:val="24"/>
        </w:rPr>
        <w:t>paragraph 26 of the s</w:t>
      </w:r>
      <w:r w:rsidRPr="00B13734">
        <w:rPr>
          <w:sz w:val="24"/>
          <w:szCs w:val="24"/>
        </w:rPr>
        <w:t>chedule</w:t>
      </w:r>
      <w:r w:rsidR="00B13734">
        <w:rPr>
          <w:sz w:val="24"/>
          <w:szCs w:val="24"/>
        </w:rPr>
        <w:t>,</w:t>
      </w:r>
      <w:r w:rsidRPr="00B13734">
        <w:rPr>
          <w:sz w:val="24"/>
          <w:szCs w:val="24"/>
        </w:rPr>
        <w:t xml:space="preserve"> </w:t>
      </w:r>
      <w:r w:rsidR="00B13734">
        <w:rPr>
          <w:sz w:val="24"/>
          <w:szCs w:val="24"/>
        </w:rPr>
        <w:t xml:space="preserve">the Claimant’s statement that he did not support the Hamas Attack was not inconsistent with the Answer being reasonably interpreted as calling Hamas freedom fighters. </w:t>
      </w:r>
    </w:p>
    <w:p w14:paraId="0F2B4637" w14:textId="77777777" w:rsidR="00541D09" w:rsidRDefault="00541D09" w:rsidP="00541D09">
      <w:pPr>
        <w:pStyle w:val="ListParagraph"/>
        <w:spacing w:before="240" w:after="240" w:line="360" w:lineRule="auto"/>
        <w:ind w:left="360"/>
        <w:rPr>
          <w:sz w:val="24"/>
          <w:szCs w:val="24"/>
        </w:rPr>
      </w:pPr>
    </w:p>
    <w:p w14:paraId="291E1DF7" w14:textId="5CD3ABD3" w:rsidR="00C03F5C" w:rsidRDefault="002316D1" w:rsidP="006D5F4C">
      <w:pPr>
        <w:pStyle w:val="ListParagraph"/>
        <w:numPr>
          <w:ilvl w:val="0"/>
          <w:numId w:val="1"/>
        </w:numPr>
        <w:spacing w:before="240" w:after="240" w:line="360" w:lineRule="auto"/>
        <w:rPr>
          <w:sz w:val="24"/>
          <w:szCs w:val="24"/>
        </w:rPr>
      </w:pPr>
      <w:r w:rsidRPr="002316D1">
        <w:rPr>
          <w:sz w:val="24"/>
          <w:szCs w:val="24"/>
        </w:rPr>
        <w:t xml:space="preserve">The Judge </w:t>
      </w:r>
      <w:r w:rsidR="00C03F5C">
        <w:rPr>
          <w:sz w:val="24"/>
          <w:szCs w:val="24"/>
        </w:rPr>
        <w:t xml:space="preserve">also referred at </w:t>
      </w:r>
      <w:r w:rsidR="00883C7A">
        <w:rPr>
          <w:sz w:val="24"/>
          <w:szCs w:val="24"/>
        </w:rPr>
        <w:t xml:space="preserve">paragraph </w:t>
      </w:r>
      <w:r w:rsidR="00C03F5C">
        <w:rPr>
          <w:sz w:val="24"/>
          <w:szCs w:val="24"/>
        </w:rPr>
        <w:t xml:space="preserve">119 to the </w:t>
      </w:r>
      <w:r w:rsidR="00AB5218">
        <w:rPr>
          <w:sz w:val="24"/>
          <w:szCs w:val="24"/>
        </w:rPr>
        <w:t xml:space="preserve">Segment allegation </w:t>
      </w:r>
      <w:r w:rsidR="002A78A1">
        <w:rPr>
          <w:sz w:val="24"/>
          <w:szCs w:val="24"/>
        </w:rPr>
        <w:t xml:space="preserve">and stated </w:t>
      </w:r>
      <w:r w:rsidR="00AB5218">
        <w:rPr>
          <w:sz w:val="24"/>
          <w:szCs w:val="24"/>
        </w:rPr>
        <w:t xml:space="preserve">that </w:t>
      </w:r>
      <w:r w:rsidR="00C03F5C" w:rsidRPr="00967894">
        <w:rPr>
          <w:sz w:val="24"/>
          <w:szCs w:val="24"/>
        </w:rPr>
        <w:t>it was “</w:t>
      </w:r>
      <w:r w:rsidR="00C03F5C" w:rsidRPr="0068291D">
        <w:rPr>
          <w:i/>
          <w:iCs/>
          <w:sz w:val="24"/>
          <w:szCs w:val="24"/>
        </w:rPr>
        <w:t>not necessary or possible at this interim stage to make any findings as to whether Lord Bailey watched the entirety of the Times Radio interview</w:t>
      </w:r>
      <w:r w:rsidR="00C03F5C" w:rsidRPr="00967894">
        <w:rPr>
          <w:sz w:val="24"/>
          <w:szCs w:val="24"/>
        </w:rPr>
        <w:t>”</w:t>
      </w:r>
      <w:r w:rsidR="00C03F5C">
        <w:rPr>
          <w:sz w:val="24"/>
          <w:szCs w:val="24"/>
        </w:rPr>
        <w:t xml:space="preserve">.  Insofar as this suggested that the possibility of the </w:t>
      </w:r>
      <w:r w:rsidR="00735D13">
        <w:rPr>
          <w:sz w:val="24"/>
          <w:szCs w:val="24"/>
        </w:rPr>
        <w:t>C</w:t>
      </w:r>
      <w:r w:rsidR="00C03F5C">
        <w:rPr>
          <w:sz w:val="24"/>
          <w:szCs w:val="24"/>
        </w:rPr>
        <w:t xml:space="preserve">laimant advancing the </w:t>
      </w:r>
      <w:r w:rsidR="00AB5218">
        <w:rPr>
          <w:sz w:val="24"/>
          <w:szCs w:val="24"/>
        </w:rPr>
        <w:t>S</w:t>
      </w:r>
      <w:r w:rsidR="00C03F5C">
        <w:rPr>
          <w:sz w:val="24"/>
          <w:szCs w:val="24"/>
        </w:rPr>
        <w:t>egment allegation justified or supported the rejection of the summary judgment application it was wrong in principle:</w:t>
      </w:r>
    </w:p>
    <w:p w14:paraId="6DC7411D" w14:textId="77777777" w:rsidR="00C03F5C" w:rsidRDefault="00C03F5C" w:rsidP="00C03F5C">
      <w:pPr>
        <w:pStyle w:val="ListParagraph"/>
        <w:spacing w:before="240" w:after="240" w:line="360" w:lineRule="auto"/>
        <w:ind w:left="360"/>
        <w:rPr>
          <w:sz w:val="24"/>
          <w:szCs w:val="24"/>
        </w:rPr>
      </w:pPr>
    </w:p>
    <w:p w14:paraId="3C0E5565" w14:textId="5CC5A7FF" w:rsidR="00BE0E8B" w:rsidRDefault="00BE0E8B" w:rsidP="00BE0E8B">
      <w:pPr>
        <w:pStyle w:val="ListParagraph"/>
        <w:numPr>
          <w:ilvl w:val="1"/>
          <w:numId w:val="1"/>
        </w:numPr>
        <w:spacing w:before="240" w:after="240" w:line="360" w:lineRule="auto"/>
        <w:rPr>
          <w:sz w:val="24"/>
          <w:szCs w:val="24"/>
        </w:rPr>
      </w:pPr>
      <w:r>
        <w:rPr>
          <w:sz w:val="24"/>
          <w:szCs w:val="24"/>
        </w:rPr>
        <w:t xml:space="preserve">There </w:t>
      </w:r>
      <w:r w:rsidR="00D11560">
        <w:rPr>
          <w:sz w:val="24"/>
          <w:szCs w:val="24"/>
        </w:rPr>
        <w:t xml:space="preserve">are three tests that must </w:t>
      </w:r>
      <w:r w:rsidR="007049F6">
        <w:rPr>
          <w:sz w:val="24"/>
          <w:szCs w:val="24"/>
        </w:rPr>
        <w:t xml:space="preserve">be </w:t>
      </w:r>
      <w:r w:rsidR="00D11560">
        <w:rPr>
          <w:sz w:val="24"/>
          <w:szCs w:val="24"/>
        </w:rPr>
        <w:t xml:space="preserve">satisfied before a </w:t>
      </w:r>
      <w:r w:rsidR="003663DE">
        <w:rPr>
          <w:sz w:val="24"/>
          <w:szCs w:val="24"/>
        </w:rPr>
        <w:t xml:space="preserve">contested </w:t>
      </w:r>
      <w:r>
        <w:rPr>
          <w:sz w:val="24"/>
          <w:szCs w:val="24"/>
        </w:rPr>
        <w:t xml:space="preserve">factual allegation </w:t>
      </w:r>
      <w:r w:rsidR="00D11560">
        <w:rPr>
          <w:sz w:val="24"/>
          <w:szCs w:val="24"/>
        </w:rPr>
        <w:t>can be relied on in opposition to a defendant</w:t>
      </w:r>
      <w:r w:rsidR="00376916">
        <w:rPr>
          <w:sz w:val="24"/>
          <w:szCs w:val="24"/>
        </w:rPr>
        <w:t>’s</w:t>
      </w:r>
      <w:r w:rsidR="00D11560">
        <w:rPr>
          <w:sz w:val="24"/>
          <w:szCs w:val="24"/>
        </w:rPr>
        <w:t xml:space="preserve"> summary judgment application</w:t>
      </w:r>
      <w:r w:rsidR="007F2188">
        <w:rPr>
          <w:sz w:val="24"/>
          <w:szCs w:val="24"/>
        </w:rPr>
        <w:t xml:space="preserve"> on s.3(5)</w:t>
      </w:r>
      <w:r w:rsidR="00D11560">
        <w:rPr>
          <w:sz w:val="24"/>
          <w:szCs w:val="24"/>
        </w:rPr>
        <w:t xml:space="preserve">. </w:t>
      </w:r>
      <w:r>
        <w:rPr>
          <w:sz w:val="24"/>
          <w:szCs w:val="24"/>
        </w:rPr>
        <w:t xml:space="preserve">First, if proved, </w:t>
      </w:r>
      <w:r w:rsidR="00D11560">
        <w:rPr>
          <w:sz w:val="24"/>
          <w:szCs w:val="24"/>
        </w:rPr>
        <w:t xml:space="preserve">the allegation </w:t>
      </w:r>
      <w:r>
        <w:rPr>
          <w:sz w:val="24"/>
          <w:szCs w:val="24"/>
        </w:rPr>
        <w:t xml:space="preserve">must </w:t>
      </w:r>
      <w:r w:rsidR="00D11560">
        <w:rPr>
          <w:sz w:val="24"/>
          <w:szCs w:val="24"/>
        </w:rPr>
        <w:t xml:space="preserve">give rise to </w:t>
      </w:r>
      <w:r>
        <w:rPr>
          <w:sz w:val="24"/>
          <w:szCs w:val="24"/>
        </w:rPr>
        <w:t xml:space="preserve">a probability </w:t>
      </w:r>
      <w:r w:rsidR="00AA414A">
        <w:rPr>
          <w:sz w:val="24"/>
          <w:szCs w:val="24"/>
        </w:rPr>
        <w:t>that the defendant did not believe the opinion</w:t>
      </w:r>
      <w:r>
        <w:rPr>
          <w:sz w:val="24"/>
          <w:szCs w:val="24"/>
        </w:rPr>
        <w:t>. Second, the</w:t>
      </w:r>
      <w:r w:rsidR="00D11560">
        <w:rPr>
          <w:sz w:val="24"/>
          <w:szCs w:val="24"/>
        </w:rPr>
        <w:t xml:space="preserve"> claimant must unequivocally </w:t>
      </w:r>
      <w:r w:rsidR="00883C7A">
        <w:rPr>
          <w:sz w:val="24"/>
          <w:szCs w:val="24"/>
        </w:rPr>
        <w:t xml:space="preserve">state </w:t>
      </w:r>
      <w:r w:rsidR="00D11560">
        <w:rPr>
          <w:sz w:val="24"/>
          <w:szCs w:val="24"/>
        </w:rPr>
        <w:t xml:space="preserve">in evidence in reply to the application that </w:t>
      </w:r>
      <w:r w:rsidR="005730CE">
        <w:rPr>
          <w:sz w:val="24"/>
          <w:szCs w:val="24"/>
        </w:rPr>
        <w:t>he believes the allegation to be true and intends to advance it</w:t>
      </w:r>
      <w:r w:rsidR="00D11560">
        <w:rPr>
          <w:sz w:val="24"/>
          <w:szCs w:val="24"/>
        </w:rPr>
        <w:t xml:space="preserve">. Third, there </w:t>
      </w:r>
      <w:r>
        <w:rPr>
          <w:sz w:val="24"/>
          <w:szCs w:val="24"/>
        </w:rPr>
        <w:t xml:space="preserve">must be a real prospect of it being proved.  </w:t>
      </w:r>
    </w:p>
    <w:p w14:paraId="432E36A6" w14:textId="77777777" w:rsidR="00BE0E8B" w:rsidRDefault="00BE0E8B" w:rsidP="00BE0E8B">
      <w:pPr>
        <w:pStyle w:val="ListParagraph"/>
        <w:spacing w:before="240" w:after="240" w:line="360" w:lineRule="auto"/>
        <w:ind w:left="792"/>
        <w:rPr>
          <w:sz w:val="24"/>
          <w:szCs w:val="24"/>
        </w:rPr>
      </w:pPr>
    </w:p>
    <w:p w14:paraId="14A2E9A2" w14:textId="3B6F9FE8" w:rsidR="003D6913" w:rsidRDefault="00D11560" w:rsidP="00003D34">
      <w:pPr>
        <w:pStyle w:val="ListParagraph"/>
        <w:numPr>
          <w:ilvl w:val="1"/>
          <w:numId w:val="1"/>
        </w:numPr>
        <w:spacing w:before="240" w:after="240" w:line="360" w:lineRule="auto"/>
        <w:rPr>
          <w:sz w:val="24"/>
          <w:szCs w:val="24"/>
        </w:rPr>
      </w:pPr>
      <w:r w:rsidRPr="00E11137">
        <w:rPr>
          <w:sz w:val="24"/>
          <w:szCs w:val="24"/>
        </w:rPr>
        <w:t>T</w:t>
      </w:r>
      <w:r w:rsidR="003D6913" w:rsidRPr="00E11137">
        <w:rPr>
          <w:sz w:val="24"/>
          <w:szCs w:val="24"/>
        </w:rPr>
        <w:t xml:space="preserve">he </w:t>
      </w:r>
      <w:r w:rsidRPr="00E11137">
        <w:rPr>
          <w:sz w:val="24"/>
          <w:szCs w:val="24"/>
        </w:rPr>
        <w:t xml:space="preserve">Judge did not address the first </w:t>
      </w:r>
      <w:r w:rsidR="00E11137">
        <w:rPr>
          <w:sz w:val="24"/>
          <w:szCs w:val="24"/>
        </w:rPr>
        <w:t>test</w:t>
      </w:r>
      <w:r w:rsidRPr="00E11137">
        <w:rPr>
          <w:sz w:val="24"/>
          <w:szCs w:val="24"/>
        </w:rPr>
        <w:t xml:space="preserve">.  </w:t>
      </w:r>
      <w:r w:rsidR="00D85241">
        <w:rPr>
          <w:sz w:val="24"/>
          <w:szCs w:val="24"/>
        </w:rPr>
        <w:t>O</w:t>
      </w:r>
      <w:r w:rsidR="00D85241" w:rsidRPr="00BE0E8B">
        <w:rPr>
          <w:sz w:val="24"/>
          <w:szCs w:val="24"/>
        </w:rPr>
        <w:t xml:space="preserve">n the Claimant’s reasoning, the Defendant would be more likely to believe the </w:t>
      </w:r>
      <w:r w:rsidR="00D85241">
        <w:rPr>
          <w:sz w:val="24"/>
          <w:szCs w:val="24"/>
        </w:rPr>
        <w:t>O</w:t>
      </w:r>
      <w:r w:rsidR="00D85241" w:rsidRPr="00BE0E8B">
        <w:rPr>
          <w:sz w:val="24"/>
          <w:szCs w:val="24"/>
        </w:rPr>
        <w:t xml:space="preserve">pinion if </w:t>
      </w:r>
      <w:r w:rsidR="00D85241">
        <w:rPr>
          <w:sz w:val="24"/>
          <w:szCs w:val="24"/>
        </w:rPr>
        <w:t xml:space="preserve">he </w:t>
      </w:r>
      <w:r w:rsidR="00D85241" w:rsidRPr="00BE0E8B">
        <w:rPr>
          <w:sz w:val="24"/>
          <w:szCs w:val="24"/>
        </w:rPr>
        <w:t xml:space="preserve">had only seen the </w:t>
      </w:r>
      <w:r w:rsidR="00AB5218">
        <w:rPr>
          <w:sz w:val="24"/>
          <w:szCs w:val="24"/>
        </w:rPr>
        <w:t>S</w:t>
      </w:r>
      <w:r w:rsidR="00D85241" w:rsidRPr="00BE0E8B">
        <w:rPr>
          <w:sz w:val="24"/>
          <w:szCs w:val="24"/>
        </w:rPr>
        <w:t>egment</w:t>
      </w:r>
      <w:r w:rsidR="00D85241">
        <w:rPr>
          <w:sz w:val="24"/>
          <w:szCs w:val="24"/>
        </w:rPr>
        <w:t>, as it did not include the Claimant’s initial agreement with Labour’s position and his statement that he did not support the Hamas Attack.</w:t>
      </w:r>
      <w:r w:rsidR="005730CE">
        <w:rPr>
          <w:sz w:val="24"/>
          <w:szCs w:val="24"/>
        </w:rPr>
        <w:t xml:space="preserve"> </w:t>
      </w:r>
      <w:r w:rsidR="00AB2361">
        <w:rPr>
          <w:sz w:val="24"/>
          <w:szCs w:val="24"/>
        </w:rPr>
        <w:t xml:space="preserve">In consequence, the Segment allegation </w:t>
      </w:r>
      <w:r w:rsidR="005730CE">
        <w:rPr>
          <w:sz w:val="24"/>
          <w:szCs w:val="24"/>
        </w:rPr>
        <w:t>was disprobative of s.3(5).</w:t>
      </w:r>
    </w:p>
    <w:p w14:paraId="4D6C4A41" w14:textId="77777777" w:rsidR="00E11137" w:rsidRPr="00E11137" w:rsidRDefault="00E11137" w:rsidP="00E11137">
      <w:pPr>
        <w:pStyle w:val="ListParagraph"/>
        <w:rPr>
          <w:sz w:val="24"/>
          <w:szCs w:val="24"/>
        </w:rPr>
      </w:pPr>
    </w:p>
    <w:p w14:paraId="5EB04E39" w14:textId="2AAE9DC3" w:rsidR="00D85241" w:rsidRDefault="003663DE" w:rsidP="00FF3B58">
      <w:pPr>
        <w:pStyle w:val="ListParagraph"/>
        <w:numPr>
          <w:ilvl w:val="1"/>
          <w:numId w:val="1"/>
        </w:numPr>
        <w:spacing w:before="240" w:after="240" w:line="360" w:lineRule="auto"/>
        <w:rPr>
          <w:sz w:val="24"/>
          <w:szCs w:val="24"/>
        </w:rPr>
      </w:pPr>
      <w:r w:rsidRPr="00FF3B58">
        <w:rPr>
          <w:sz w:val="24"/>
          <w:szCs w:val="24"/>
        </w:rPr>
        <w:t>As regards the second test</w:t>
      </w:r>
      <w:r w:rsidR="00030668" w:rsidRPr="00FF3B58">
        <w:rPr>
          <w:sz w:val="24"/>
          <w:szCs w:val="24"/>
        </w:rPr>
        <w:t xml:space="preserve">, </w:t>
      </w:r>
      <w:r w:rsidR="002E37FF">
        <w:rPr>
          <w:sz w:val="24"/>
          <w:szCs w:val="24"/>
        </w:rPr>
        <w:t>t</w:t>
      </w:r>
      <w:r w:rsidR="00D85241" w:rsidRPr="00FF3B58">
        <w:rPr>
          <w:sz w:val="24"/>
          <w:szCs w:val="24"/>
        </w:rPr>
        <w:t xml:space="preserve">he </w:t>
      </w:r>
      <w:r w:rsidR="00AA414A" w:rsidRPr="00FF3B58">
        <w:rPr>
          <w:sz w:val="24"/>
          <w:szCs w:val="24"/>
        </w:rPr>
        <w:t>Claimant</w:t>
      </w:r>
      <w:r w:rsidR="00D85241">
        <w:rPr>
          <w:sz w:val="24"/>
          <w:szCs w:val="24"/>
        </w:rPr>
        <w:t xml:space="preserve"> </w:t>
      </w:r>
      <w:r w:rsidR="005730CE">
        <w:rPr>
          <w:sz w:val="24"/>
          <w:szCs w:val="24"/>
        </w:rPr>
        <w:t xml:space="preserve">first raised the possibility of advancing the </w:t>
      </w:r>
      <w:r w:rsidR="0072761F">
        <w:rPr>
          <w:sz w:val="24"/>
          <w:szCs w:val="24"/>
        </w:rPr>
        <w:t xml:space="preserve">Segment </w:t>
      </w:r>
      <w:r w:rsidR="005730CE">
        <w:rPr>
          <w:sz w:val="24"/>
          <w:szCs w:val="24"/>
        </w:rPr>
        <w:t xml:space="preserve">allegation in his skeleton argument and did not </w:t>
      </w:r>
      <w:r w:rsidR="00D85241">
        <w:rPr>
          <w:sz w:val="24"/>
          <w:szCs w:val="24"/>
        </w:rPr>
        <w:t xml:space="preserve">unequivocally state an intention to </w:t>
      </w:r>
      <w:r w:rsidR="005730CE">
        <w:rPr>
          <w:sz w:val="24"/>
          <w:szCs w:val="24"/>
        </w:rPr>
        <w:t>do so</w:t>
      </w:r>
      <w:r w:rsidR="00D85241">
        <w:rPr>
          <w:sz w:val="24"/>
          <w:szCs w:val="24"/>
        </w:rPr>
        <w:t xml:space="preserve">.  </w:t>
      </w:r>
      <w:r w:rsidR="002E37FF">
        <w:rPr>
          <w:sz w:val="24"/>
          <w:szCs w:val="24"/>
        </w:rPr>
        <w:t xml:space="preserve"> </w:t>
      </w:r>
      <w:r w:rsidR="00A07A46">
        <w:rPr>
          <w:sz w:val="24"/>
          <w:szCs w:val="24"/>
        </w:rPr>
        <w:t xml:space="preserve">The </w:t>
      </w:r>
      <w:r w:rsidR="0072761F" w:rsidRPr="00FF3B58">
        <w:rPr>
          <w:sz w:val="24"/>
          <w:szCs w:val="24"/>
        </w:rPr>
        <w:t xml:space="preserve">Defendant and Lady Bailey both </w:t>
      </w:r>
      <w:r w:rsidR="0072761F">
        <w:rPr>
          <w:sz w:val="24"/>
          <w:szCs w:val="24"/>
        </w:rPr>
        <w:t xml:space="preserve">gave witness statements stating </w:t>
      </w:r>
      <w:r w:rsidR="0072761F" w:rsidRPr="00FF3B58">
        <w:rPr>
          <w:sz w:val="24"/>
          <w:szCs w:val="24"/>
        </w:rPr>
        <w:t xml:space="preserve">that they had watched the full Interview </w:t>
      </w:r>
      <w:r w:rsidR="0072761F" w:rsidRPr="00FF3B58">
        <w:rPr>
          <w:sz w:val="24"/>
          <w:szCs w:val="24"/>
        </w:rPr>
        <w:lastRenderedPageBreak/>
        <w:t xml:space="preserve">together on the day </w:t>
      </w:r>
      <w:r w:rsidR="0072761F">
        <w:rPr>
          <w:sz w:val="24"/>
          <w:szCs w:val="24"/>
        </w:rPr>
        <w:t>of the Broadcast</w:t>
      </w:r>
      <w:r w:rsidR="0072761F" w:rsidRPr="00FF3B58">
        <w:rPr>
          <w:sz w:val="24"/>
          <w:szCs w:val="24"/>
        </w:rPr>
        <w:t xml:space="preserve"> and had discussed the Claimant’s initial agreement with Labour’s position. The </w:t>
      </w:r>
      <w:r w:rsidR="0072761F">
        <w:rPr>
          <w:sz w:val="24"/>
          <w:szCs w:val="24"/>
        </w:rPr>
        <w:t>S</w:t>
      </w:r>
      <w:r w:rsidR="0072761F" w:rsidRPr="00FF3B58">
        <w:rPr>
          <w:sz w:val="24"/>
          <w:szCs w:val="24"/>
        </w:rPr>
        <w:t xml:space="preserve">egment allegation necessarily imputed that they were lying about this.  </w:t>
      </w:r>
      <w:r w:rsidR="0072761F">
        <w:rPr>
          <w:sz w:val="24"/>
          <w:szCs w:val="24"/>
        </w:rPr>
        <w:t xml:space="preserve">In the circumstances, the </w:t>
      </w:r>
      <w:r w:rsidR="002E37FF">
        <w:rPr>
          <w:sz w:val="24"/>
          <w:szCs w:val="24"/>
        </w:rPr>
        <w:t xml:space="preserve">Judge should have required </w:t>
      </w:r>
      <w:r w:rsidR="005730CE">
        <w:rPr>
          <w:sz w:val="24"/>
          <w:szCs w:val="24"/>
        </w:rPr>
        <w:t xml:space="preserve">the Claimant to state unequivocally that he believed the </w:t>
      </w:r>
      <w:r w:rsidR="00AB5218">
        <w:rPr>
          <w:sz w:val="24"/>
          <w:szCs w:val="24"/>
        </w:rPr>
        <w:t>S</w:t>
      </w:r>
      <w:r w:rsidR="005730CE">
        <w:rPr>
          <w:sz w:val="24"/>
          <w:szCs w:val="24"/>
        </w:rPr>
        <w:t xml:space="preserve">egment allegation to be true and was intending to advance it, </w:t>
      </w:r>
      <w:r w:rsidR="002E37FF" w:rsidRPr="00FF3B58">
        <w:rPr>
          <w:sz w:val="24"/>
          <w:szCs w:val="24"/>
        </w:rPr>
        <w:t>before even considering the prospect of it succeeding.</w:t>
      </w:r>
    </w:p>
    <w:p w14:paraId="2CB5C15E" w14:textId="77777777" w:rsidR="00D85241" w:rsidRPr="00D85241" w:rsidRDefault="00D85241" w:rsidP="00D85241">
      <w:pPr>
        <w:pStyle w:val="ListParagraph"/>
        <w:rPr>
          <w:sz w:val="24"/>
          <w:szCs w:val="24"/>
        </w:rPr>
      </w:pPr>
    </w:p>
    <w:p w14:paraId="75A8068E" w14:textId="66C643FE" w:rsidR="00790923" w:rsidRPr="004D5FA0" w:rsidRDefault="004D5FA0" w:rsidP="004D5FA0">
      <w:pPr>
        <w:pStyle w:val="ListParagraph"/>
        <w:numPr>
          <w:ilvl w:val="1"/>
          <w:numId w:val="1"/>
        </w:numPr>
        <w:spacing w:before="240" w:after="240" w:line="360" w:lineRule="auto"/>
        <w:rPr>
          <w:sz w:val="24"/>
          <w:szCs w:val="24"/>
        </w:rPr>
      </w:pPr>
      <w:r w:rsidRPr="004D5FA0">
        <w:rPr>
          <w:sz w:val="24"/>
          <w:szCs w:val="24"/>
        </w:rPr>
        <w:t xml:space="preserve">As regards the third test, </w:t>
      </w:r>
      <w:r w:rsidR="00790923" w:rsidRPr="004D5FA0">
        <w:rPr>
          <w:sz w:val="24"/>
          <w:szCs w:val="24"/>
        </w:rPr>
        <w:t xml:space="preserve">the Judge </w:t>
      </w:r>
      <w:r w:rsidR="003A13FD">
        <w:rPr>
          <w:sz w:val="24"/>
          <w:szCs w:val="24"/>
        </w:rPr>
        <w:t xml:space="preserve">was under a duty </w:t>
      </w:r>
      <w:r w:rsidR="003A13FD" w:rsidRPr="003A13FD">
        <w:rPr>
          <w:sz w:val="24"/>
          <w:szCs w:val="24"/>
        </w:rPr>
        <w:t xml:space="preserve">carefully to scrutinise </w:t>
      </w:r>
      <w:r>
        <w:rPr>
          <w:sz w:val="24"/>
          <w:szCs w:val="24"/>
        </w:rPr>
        <w:t xml:space="preserve">the </w:t>
      </w:r>
      <w:r w:rsidR="003A13FD">
        <w:rPr>
          <w:sz w:val="24"/>
          <w:szCs w:val="24"/>
        </w:rPr>
        <w:t xml:space="preserve">likelihood </w:t>
      </w:r>
      <w:r>
        <w:rPr>
          <w:sz w:val="24"/>
          <w:szCs w:val="24"/>
        </w:rPr>
        <w:t xml:space="preserve">of </w:t>
      </w:r>
      <w:r w:rsidR="00CB41C8">
        <w:rPr>
          <w:sz w:val="24"/>
          <w:szCs w:val="24"/>
        </w:rPr>
        <w:t xml:space="preserve">proof of </w:t>
      </w:r>
      <w:r>
        <w:rPr>
          <w:sz w:val="24"/>
          <w:szCs w:val="24"/>
        </w:rPr>
        <w:t xml:space="preserve">the </w:t>
      </w:r>
      <w:r w:rsidR="00AB5218">
        <w:rPr>
          <w:sz w:val="24"/>
          <w:szCs w:val="24"/>
        </w:rPr>
        <w:t>S</w:t>
      </w:r>
      <w:r>
        <w:rPr>
          <w:sz w:val="24"/>
          <w:szCs w:val="24"/>
        </w:rPr>
        <w:t xml:space="preserve">egment allegation </w:t>
      </w:r>
      <w:r w:rsidR="003A13FD">
        <w:rPr>
          <w:sz w:val="24"/>
          <w:szCs w:val="24"/>
        </w:rPr>
        <w:t xml:space="preserve">in accordance with </w:t>
      </w:r>
      <w:r w:rsidR="00790923" w:rsidRPr="004D5FA0">
        <w:rPr>
          <w:sz w:val="24"/>
          <w:szCs w:val="24"/>
        </w:rPr>
        <w:t xml:space="preserve">the approach of Nicklin J in </w:t>
      </w:r>
      <w:r w:rsidR="00192AFB" w:rsidRPr="004D5FA0">
        <w:rPr>
          <w:i/>
          <w:iCs/>
          <w:sz w:val="24"/>
          <w:szCs w:val="24"/>
        </w:rPr>
        <w:t>Amersi v Leslie</w:t>
      </w:r>
      <w:r w:rsidR="00192AFB" w:rsidRPr="004D5FA0">
        <w:rPr>
          <w:sz w:val="24"/>
          <w:szCs w:val="24"/>
        </w:rPr>
        <w:t xml:space="preserve"> [2023] EWHC 1368 (KB)</w:t>
      </w:r>
      <w:r w:rsidR="00790923" w:rsidRPr="004D5FA0">
        <w:rPr>
          <w:sz w:val="24"/>
          <w:szCs w:val="24"/>
        </w:rPr>
        <w:t xml:space="preserve">. This </w:t>
      </w:r>
      <w:r w:rsidR="00C259C8">
        <w:rPr>
          <w:sz w:val="24"/>
          <w:szCs w:val="24"/>
        </w:rPr>
        <w:t xml:space="preserve">duty arises </w:t>
      </w:r>
      <w:r w:rsidR="00790923" w:rsidRPr="004D5FA0">
        <w:rPr>
          <w:sz w:val="24"/>
          <w:szCs w:val="24"/>
        </w:rPr>
        <w:t xml:space="preserve">in a </w:t>
      </w:r>
      <w:r w:rsidR="00C259C8">
        <w:rPr>
          <w:sz w:val="24"/>
          <w:szCs w:val="24"/>
        </w:rPr>
        <w:t xml:space="preserve">reverse </w:t>
      </w:r>
      <w:r w:rsidR="00790923" w:rsidRPr="004D5FA0">
        <w:rPr>
          <w:sz w:val="24"/>
          <w:szCs w:val="24"/>
        </w:rPr>
        <w:t xml:space="preserve">summary judgment application </w:t>
      </w:r>
      <w:r w:rsidR="00C06C0C">
        <w:rPr>
          <w:sz w:val="24"/>
          <w:szCs w:val="24"/>
        </w:rPr>
        <w:t xml:space="preserve">where </w:t>
      </w:r>
      <w:r w:rsidR="00790923" w:rsidRPr="004D5FA0">
        <w:rPr>
          <w:sz w:val="24"/>
          <w:szCs w:val="24"/>
        </w:rPr>
        <w:t xml:space="preserve">(a) </w:t>
      </w:r>
      <w:r w:rsidR="000A5BA5" w:rsidRPr="004D5FA0">
        <w:rPr>
          <w:sz w:val="24"/>
          <w:szCs w:val="24"/>
        </w:rPr>
        <w:t xml:space="preserve">an allegation of primary fact on an issue on which </w:t>
      </w:r>
      <w:r w:rsidR="00790923" w:rsidRPr="004D5FA0">
        <w:rPr>
          <w:sz w:val="24"/>
          <w:szCs w:val="24"/>
        </w:rPr>
        <w:t xml:space="preserve">the claimant bears the ultimate burden of proof (b) the defendant adduces direct and positive evidence in opposition to the allegation (c) the claimant’s case in support of the allegation is solely inference based and (d) the defendant’s Article 10 right is engaged.  </w:t>
      </w:r>
      <w:r w:rsidR="003A13FD">
        <w:rPr>
          <w:sz w:val="24"/>
          <w:szCs w:val="24"/>
        </w:rPr>
        <w:t xml:space="preserve">The duty is not satisfied by mere assertion that it is not possible </w:t>
      </w:r>
      <w:r w:rsidR="007278BD">
        <w:rPr>
          <w:sz w:val="24"/>
          <w:szCs w:val="24"/>
        </w:rPr>
        <w:t xml:space="preserve">to </w:t>
      </w:r>
      <w:r w:rsidR="003A13FD">
        <w:rPr>
          <w:sz w:val="24"/>
          <w:szCs w:val="24"/>
        </w:rPr>
        <w:t xml:space="preserve">determine that the defendant’s evidence is true.  </w:t>
      </w:r>
      <w:r w:rsidR="00FC3C59" w:rsidRPr="004D5FA0">
        <w:rPr>
          <w:sz w:val="24"/>
          <w:szCs w:val="24"/>
        </w:rPr>
        <w:t xml:space="preserve">Had the Judge </w:t>
      </w:r>
      <w:r w:rsidR="00C259C8">
        <w:rPr>
          <w:sz w:val="24"/>
          <w:szCs w:val="24"/>
        </w:rPr>
        <w:t xml:space="preserve">carefully scrutinised the </w:t>
      </w:r>
      <w:r w:rsidR="00AB5218">
        <w:rPr>
          <w:sz w:val="24"/>
          <w:szCs w:val="24"/>
        </w:rPr>
        <w:t>S</w:t>
      </w:r>
      <w:r w:rsidR="00FC3C59" w:rsidRPr="004D5FA0">
        <w:rPr>
          <w:sz w:val="24"/>
          <w:szCs w:val="24"/>
        </w:rPr>
        <w:t xml:space="preserve">egment allegation, he should have concluded that </w:t>
      </w:r>
      <w:r w:rsidR="00C259C8">
        <w:rPr>
          <w:sz w:val="24"/>
          <w:szCs w:val="24"/>
        </w:rPr>
        <w:t xml:space="preserve">it was an inferential allegation with no proper factual basis and/or </w:t>
      </w:r>
      <w:r w:rsidR="00FC3C59" w:rsidRPr="004D5FA0">
        <w:rPr>
          <w:sz w:val="24"/>
          <w:szCs w:val="24"/>
        </w:rPr>
        <w:t xml:space="preserve">the </w:t>
      </w:r>
      <w:r w:rsidR="00EC35C9" w:rsidRPr="004D5FA0">
        <w:rPr>
          <w:sz w:val="24"/>
          <w:szCs w:val="24"/>
        </w:rPr>
        <w:t xml:space="preserve">prospect of the Claimant pursuing </w:t>
      </w:r>
      <w:r w:rsidR="00AB5218">
        <w:rPr>
          <w:sz w:val="24"/>
          <w:szCs w:val="24"/>
        </w:rPr>
        <w:t xml:space="preserve">it </w:t>
      </w:r>
      <w:r w:rsidR="00EC35C9" w:rsidRPr="004D5FA0">
        <w:rPr>
          <w:sz w:val="24"/>
          <w:szCs w:val="24"/>
        </w:rPr>
        <w:t xml:space="preserve">to trial and the Defendant and his wife being disbelieved </w:t>
      </w:r>
      <w:r w:rsidR="00C259C8">
        <w:rPr>
          <w:sz w:val="24"/>
          <w:szCs w:val="24"/>
        </w:rPr>
        <w:t xml:space="preserve">on it </w:t>
      </w:r>
      <w:r w:rsidR="00EC35C9" w:rsidRPr="004D5FA0">
        <w:rPr>
          <w:sz w:val="24"/>
          <w:szCs w:val="24"/>
        </w:rPr>
        <w:t>was fanciful.</w:t>
      </w:r>
    </w:p>
    <w:p w14:paraId="793D62C2" w14:textId="77777777" w:rsidR="00FC3C59" w:rsidRDefault="00FC3C59" w:rsidP="00FC3C59">
      <w:pPr>
        <w:pStyle w:val="ListParagraph"/>
        <w:spacing w:before="240" w:after="240" w:line="360" w:lineRule="auto"/>
        <w:ind w:left="1728"/>
        <w:rPr>
          <w:sz w:val="24"/>
          <w:szCs w:val="24"/>
        </w:rPr>
      </w:pPr>
    </w:p>
    <w:p w14:paraId="5C762572" w14:textId="239789BC" w:rsidR="00D85241" w:rsidRDefault="00FC3C59" w:rsidP="004D5FA0">
      <w:pPr>
        <w:pStyle w:val="ListParagraph"/>
        <w:numPr>
          <w:ilvl w:val="1"/>
          <w:numId w:val="1"/>
        </w:numPr>
        <w:spacing w:before="240" w:after="240" w:line="360" w:lineRule="auto"/>
        <w:rPr>
          <w:sz w:val="24"/>
          <w:szCs w:val="24"/>
        </w:rPr>
      </w:pPr>
      <w:r>
        <w:rPr>
          <w:sz w:val="24"/>
          <w:szCs w:val="24"/>
        </w:rPr>
        <w:t>Further, the Judge was plainly wrong to exclude the witness statement of Lady Bailey</w:t>
      </w:r>
      <w:r w:rsidR="004D5FA0">
        <w:rPr>
          <w:sz w:val="24"/>
          <w:szCs w:val="24"/>
        </w:rPr>
        <w:t xml:space="preserve"> for this purpose</w:t>
      </w:r>
      <w:r>
        <w:rPr>
          <w:sz w:val="24"/>
          <w:szCs w:val="24"/>
        </w:rPr>
        <w:t xml:space="preserve">.  </w:t>
      </w:r>
      <w:r w:rsidR="005730CE">
        <w:rPr>
          <w:sz w:val="24"/>
          <w:szCs w:val="24"/>
        </w:rPr>
        <w:t xml:space="preserve">The </w:t>
      </w:r>
      <w:r w:rsidR="00F07C18">
        <w:rPr>
          <w:sz w:val="24"/>
          <w:szCs w:val="24"/>
        </w:rPr>
        <w:t xml:space="preserve">Defendant was plainly entitled to adduce a statement from Lady Bailey to support his evidence.  </w:t>
      </w:r>
      <w:r w:rsidR="005730CE">
        <w:rPr>
          <w:sz w:val="24"/>
          <w:szCs w:val="24"/>
        </w:rPr>
        <w:t xml:space="preserve">The reason for its late service was the failure of the Claimant to indicate </w:t>
      </w:r>
      <w:r w:rsidR="00FE4EB5">
        <w:rPr>
          <w:sz w:val="24"/>
          <w:szCs w:val="24"/>
        </w:rPr>
        <w:t xml:space="preserve">until </w:t>
      </w:r>
      <w:r w:rsidR="00A07A46">
        <w:rPr>
          <w:sz w:val="24"/>
          <w:szCs w:val="24"/>
        </w:rPr>
        <w:t xml:space="preserve">his </w:t>
      </w:r>
      <w:r w:rsidR="00FE4EB5">
        <w:rPr>
          <w:sz w:val="24"/>
          <w:szCs w:val="24"/>
        </w:rPr>
        <w:t xml:space="preserve">skeleton argument </w:t>
      </w:r>
      <w:r w:rsidR="005730CE">
        <w:rPr>
          <w:sz w:val="24"/>
          <w:szCs w:val="24"/>
        </w:rPr>
        <w:t>a</w:t>
      </w:r>
      <w:r w:rsidR="00FE4EB5">
        <w:rPr>
          <w:sz w:val="24"/>
          <w:szCs w:val="24"/>
        </w:rPr>
        <w:t xml:space="preserve"> possible </w:t>
      </w:r>
      <w:r w:rsidR="005730CE">
        <w:rPr>
          <w:sz w:val="24"/>
          <w:szCs w:val="24"/>
        </w:rPr>
        <w:t xml:space="preserve">intention to advance the </w:t>
      </w:r>
      <w:r w:rsidR="00AB5218">
        <w:rPr>
          <w:sz w:val="24"/>
          <w:szCs w:val="24"/>
        </w:rPr>
        <w:t>S</w:t>
      </w:r>
      <w:r w:rsidR="005730CE">
        <w:rPr>
          <w:sz w:val="24"/>
          <w:szCs w:val="24"/>
        </w:rPr>
        <w:t xml:space="preserve">egment allegation. </w:t>
      </w:r>
      <w:r w:rsidR="005A60E3">
        <w:rPr>
          <w:sz w:val="24"/>
          <w:szCs w:val="24"/>
        </w:rPr>
        <w:t xml:space="preserve">At the hearing on Friday 8 November 2024 the Defendant’s counsel stated an entitlement to serve a statement from Lady Bailey and </w:t>
      </w:r>
      <w:r w:rsidR="00215C0C">
        <w:rPr>
          <w:sz w:val="24"/>
          <w:szCs w:val="24"/>
        </w:rPr>
        <w:t xml:space="preserve">gave an </w:t>
      </w:r>
      <w:r w:rsidR="005A60E3">
        <w:rPr>
          <w:sz w:val="24"/>
          <w:szCs w:val="24"/>
        </w:rPr>
        <w:t>undert</w:t>
      </w:r>
      <w:r w:rsidR="00215C0C">
        <w:rPr>
          <w:sz w:val="24"/>
          <w:szCs w:val="24"/>
        </w:rPr>
        <w:t xml:space="preserve">aking </w:t>
      </w:r>
      <w:r w:rsidR="005A60E3">
        <w:rPr>
          <w:sz w:val="24"/>
          <w:szCs w:val="24"/>
        </w:rPr>
        <w:t>to provide it.  The witness statement was provided on Sunday 10 November</w:t>
      </w:r>
      <w:r w:rsidR="00215C0C">
        <w:rPr>
          <w:sz w:val="24"/>
          <w:szCs w:val="24"/>
        </w:rPr>
        <w:t xml:space="preserve">. No issue as </w:t>
      </w:r>
      <w:r w:rsidR="00A07A46">
        <w:rPr>
          <w:sz w:val="24"/>
          <w:szCs w:val="24"/>
        </w:rPr>
        <w:t xml:space="preserve">to </w:t>
      </w:r>
      <w:r w:rsidR="00215C0C">
        <w:rPr>
          <w:sz w:val="24"/>
          <w:szCs w:val="24"/>
        </w:rPr>
        <w:t xml:space="preserve">its admissibility was raised until 20 November. </w:t>
      </w:r>
    </w:p>
    <w:p w14:paraId="650C15B4" w14:textId="22589EF3" w:rsidR="00FD1ED6" w:rsidRPr="00FD1ED6" w:rsidRDefault="00FD1ED6" w:rsidP="00FD1ED6">
      <w:pPr>
        <w:spacing w:before="240" w:after="240" w:line="360" w:lineRule="auto"/>
        <w:rPr>
          <w:b/>
          <w:bCs/>
          <w:sz w:val="24"/>
          <w:szCs w:val="24"/>
        </w:rPr>
      </w:pPr>
      <w:r>
        <w:rPr>
          <w:b/>
          <w:bCs/>
          <w:sz w:val="24"/>
          <w:szCs w:val="24"/>
        </w:rPr>
        <w:t>Section 2</w:t>
      </w:r>
    </w:p>
    <w:p w14:paraId="7B1F6BE7" w14:textId="77777777" w:rsidR="00943BF2" w:rsidRDefault="0043484B" w:rsidP="00616C05">
      <w:pPr>
        <w:pStyle w:val="ListParagraph"/>
        <w:numPr>
          <w:ilvl w:val="0"/>
          <w:numId w:val="1"/>
        </w:numPr>
        <w:spacing w:before="240" w:after="240" w:line="360" w:lineRule="auto"/>
        <w:rPr>
          <w:sz w:val="24"/>
          <w:szCs w:val="24"/>
        </w:rPr>
      </w:pPr>
      <w:r w:rsidRPr="0043484B">
        <w:rPr>
          <w:sz w:val="24"/>
          <w:szCs w:val="24"/>
        </w:rPr>
        <w:t xml:space="preserve">Further or alternatively, the Judge was wrong to find that the s.2 defence failed.  </w:t>
      </w:r>
    </w:p>
    <w:p w14:paraId="7F7B7C84" w14:textId="77777777" w:rsidR="00943BF2" w:rsidRPr="00943BF2" w:rsidRDefault="00943BF2" w:rsidP="00943BF2">
      <w:pPr>
        <w:pStyle w:val="ListParagraph"/>
        <w:rPr>
          <w:sz w:val="24"/>
          <w:szCs w:val="24"/>
        </w:rPr>
      </w:pPr>
    </w:p>
    <w:p w14:paraId="5C2B9DA0" w14:textId="737058DD" w:rsidR="00943BF2" w:rsidRDefault="0043484B" w:rsidP="00943BF2">
      <w:pPr>
        <w:pStyle w:val="ListParagraph"/>
        <w:numPr>
          <w:ilvl w:val="1"/>
          <w:numId w:val="1"/>
        </w:numPr>
        <w:spacing w:before="240" w:after="240" w:line="360" w:lineRule="auto"/>
        <w:rPr>
          <w:sz w:val="24"/>
          <w:szCs w:val="24"/>
        </w:rPr>
      </w:pPr>
      <w:r w:rsidRPr="0043484B">
        <w:rPr>
          <w:sz w:val="24"/>
          <w:szCs w:val="24"/>
        </w:rPr>
        <w:lastRenderedPageBreak/>
        <w:t xml:space="preserve">Paragraph </w:t>
      </w:r>
      <w:r w:rsidR="00FE4EB5">
        <w:rPr>
          <w:sz w:val="24"/>
          <w:szCs w:val="24"/>
        </w:rPr>
        <w:t>2</w:t>
      </w:r>
      <w:r w:rsidRPr="0043484B">
        <w:rPr>
          <w:sz w:val="24"/>
          <w:szCs w:val="24"/>
        </w:rPr>
        <w:t xml:space="preserve"> above is repeated.  </w:t>
      </w:r>
      <w:r w:rsidR="001351F4">
        <w:rPr>
          <w:sz w:val="24"/>
          <w:szCs w:val="24"/>
        </w:rPr>
        <w:t xml:space="preserve">It follows that </w:t>
      </w:r>
      <w:r w:rsidR="0073253E">
        <w:rPr>
          <w:sz w:val="24"/>
          <w:szCs w:val="24"/>
        </w:rPr>
        <w:t xml:space="preserve">the meaning found by the Judge is </w:t>
      </w:r>
      <w:r w:rsidR="00943BF2">
        <w:rPr>
          <w:sz w:val="24"/>
          <w:szCs w:val="24"/>
        </w:rPr>
        <w:t xml:space="preserve">substantially true </w:t>
      </w:r>
      <w:r w:rsidR="0073253E">
        <w:rPr>
          <w:sz w:val="24"/>
          <w:szCs w:val="24"/>
        </w:rPr>
        <w:t>(</w:t>
      </w:r>
      <w:r w:rsidR="00943BF2">
        <w:rPr>
          <w:sz w:val="24"/>
          <w:szCs w:val="24"/>
        </w:rPr>
        <w:t>there are reasonable grounds to suspect that</w:t>
      </w:r>
      <w:r w:rsidR="00943BF2" w:rsidRPr="00943BF2">
        <w:rPr>
          <w:sz w:val="24"/>
          <w:szCs w:val="24"/>
        </w:rPr>
        <w:t xml:space="preserve">, by </w:t>
      </w:r>
      <w:r w:rsidR="00943BF2">
        <w:rPr>
          <w:sz w:val="24"/>
          <w:szCs w:val="24"/>
        </w:rPr>
        <w:t>using such words [the Answer]</w:t>
      </w:r>
      <w:r w:rsidR="00943BF2" w:rsidRPr="00943BF2">
        <w:rPr>
          <w:sz w:val="24"/>
          <w:szCs w:val="24"/>
        </w:rPr>
        <w:t xml:space="preserve">, </w:t>
      </w:r>
      <w:r w:rsidR="00943BF2">
        <w:rPr>
          <w:sz w:val="24"/>
          <w:szCs w:val="24"/>
        </w:rPr>
        <w:t xml:space="preserve">the Claimant </w:t>
      </w:r>
      <w:r w:rsidR="00943BF2" w:rsidRPr="00943BF2">
        <w:rPr>
          <w:sz w:val="24"/>
          <w:szCs w:val="24"/>
        </w:rPr>
        <w:t>has called the terrorist organisation Hamas freedom fighters</w:t>
      </w:r>
      <w:r w:rsidR="0073253E">
        <w:rPr>
          <w:sz w:val="24"/>
          <w:szCs w:val="24"/>
        </w:rPr>
        <w:t>)</w:t>
      </w:r>
      <w:r w:rsidR="00943BF2">
        <w:rPr>
          <w:sz w:val="24"/>
          <w:szCs w:val="24"/>
        </w:rPr>
        <w:t xml:space="preserve">.  </w:t>
      </w:r>
    </w:p>
    <w:p w14:paraId="22D803BB" w14:textId="77777777" w:rsidR="00943BF2" w:rsidRDefault="00943BF2" w:rsidP="00943BF2">
      <w:pPr>
        <w:pStyle w:val="ListParagraph"/>
        <w:spacing w:before="240" w:after="240" w:line="360" w:lineRule="auto"/>
        <w:ind w:left="792"/>
        <w:rPr>
          <w:sz w:val="24"/>
          <w:szCs w:val="24"/>
        </w:rPr>
      </w:pPr>
    </w:p>
    <w:p w14:paraId="68F84C2A" w14:textId="77777777" w:rsidR="00AC3724" w:rsidRDefault="00943BF2" w:rsidP="00943BF2">
      <w:pPr>
        <w:pStyle w:val="ListParagraph"/>
        <w:numPr>
          <w:ilvl w:val="1"/>
          <w:numId w:val="1"/>
        </w:numPr>
        <w:spacing w:before="240" w:after="240" w:line="360" w:lineRule="auto"/>
        <w:rPr>
          <w:sz w:val="24"/>
          <w:szCs w:val="24"/>
        </w:rPr>
      </w:pPr>
      <w:r>
        <w:rPr>
          <w:sz w:val="24"/>
          <w:szCs w:val="24"/>
        </w:rPr>
        <w:t xml:space="preserve">Further or alternatively, the Judge erred in principle in his approach to s.2.  </w:t>
      </w:r>
    </w:p>
    <w:p w14:paraId="188ED974" w14:textId="77777777" w:rsidR="00AC3724" w:rsidRPr="00AC3724" w:rsidRDefault="00AC3724" w:rsidP="00AC3724">
      <w:pPr>
        <w:pStyle w:val="ListParagraph"/>
        <w:rPr>
          <w:sz w:val="24"/>
          <w:szCs w:val="24"/>
        </w:rPr>
      </w:pPr>
    </w:p>
    <w:p w14:paraId="4B21AF52" w14:textId="71C94CEF" w:rsidR="00DC545E" w:rsidRDefault="00DC545E" w:rsidP="00AC3724">
      <w:pPr>
        <w:pStyle w:val="ListParagraph"/>
        <w:numPr>
          <w:ilvl w:val="2"/>
          <w:numId w:val="1"/>
        </w:numPr>
        <w:spacing w:before="240" w:after="240" w:line="360" w:lineRule="auto"/>
        <w:rPr>
          <w:sz w:val="24"/>
          <w:szCs w:val="24"/>
        </w:rPr>
      </w:pPr>
      <w:r>
        <w:rPr>
          <w:sz w:val="24"/>
          <w:szCs w:val="24"/>
        </w:rPr>
        <w:t>T</w:t>
      </w:r>
      <w:r w:rsidRPr="00735D13">
        <w:rPr>
          <w:sz w:val="24"/>
          <w:szCs w:val="24"/>
        </w:rPr>
        <w:t>he s.2 determination had to be made by reference to the s.2 defence as advanced in paragraph 2 of the draft Defence</w:t>
      </w:r>
      <w:r>
        <w:rPr>
          <w:sz w:val="24"/>
          <w:szCs w:val="24"/>
        </w:rPr>
        <w:t xml:space="preserve">. This </w:t>
      </w:r>
      <w:r w:rsidRPr="00735D13">
        <w:rPr>
          <w:sz w:val="24"/>
          <w:szCs w:val="24"/>
        </w:rPr>
        <w:t xml:space="preserve">incorporated a schedule addressing each statement in the Interview.  Paragraphs 2.2 to 2.5 set out the positive case for interpreting the Answer in accordance with the Opinion. Paragraph 2.6 addressed the two matters relied on by the Claimant and explained why they did not contradict the Opinion.   In order to find that the Chase level 2 meaning was not substantially true the Judge had to engage with </w:t>
      </w:r>
      <w:r w:rsidR="003478C7">
        <w:rPr>
          <w:sz w:val="24"/>
          <w:szCs w:val="24"/>
        </w:rPr>
        <w:t xml:space="preserve">and reject </w:t>
      </w:r>
      <w:r w:rsidRPr="00735D13">
        <w:rPr>
          <w:sz w:val="24"/>
          <w:szCs w:val="24"/>
        </w:rPr>
        <w:t xml:space="preserve">the interpretative case in the draft Defence. The Judge did neither. The judgment makes no reference, direct or indirect, to the draft Defence. </w:t>
      </w:r>
    </w:p>
    <w:p w14:paraId="1C8DFF9C" w14:textId="77777777" w:rsidR="00DC545E" w:rsidRDefault="00DC545E" w:rsidP="00DC545E">
      <w:pPr>
        <w:pStyle w:val="ListParagraph"/>
        <w:spacing w:before="240" w:after="240" w:line="360" w:lineRule="auto"/>
        <w:ind w:left="1224"/>
        <w:rPr>
          <w:sz w:val="24"/>
          <w:szCs w:val="24"/>
        </w:rPr>
      </w:pPr>
    </w:p>
    <w:p w14:paraId="4BFCBE0B" w14:textId="4321E19D" w:rsidR="00AC3724" w:rsidRDefault="00DC545E" w:rsidP="00C64BE6">
      <w:pPr>
        <w:pStyle w:val="ListParagraph"/>
        <w:numPr>
          <w:ilvl w:val="2"/>
          <w:numId w:val="1"/>
        </w:numPr>
        <w:spacing w:before="240" w:after="240" w:line="360" w:lineRule="auto"/>
        <w:rPr>
          <w:sz w:val="24"/>
          <w:szCs w:val="24"/>
        </w:rPr>
      </w:pPr>
      <w:r w:rsidRPr="00DC545E">
        <w:rPr>
          <w:sz w:val="24"/>
          <w:szCs w:val="24"/>
        </w:rPr>
        <w:t>Further or alternatively, t</w:t>
      </w:r>
      <w:r w:rsidR="00943BF2" w:rsidRPr="00DC545E">
        <w:rPr>
          <w:sz w:val="24"/>
          <w:szCs w:val="24"/>
        </w:rPr>
        <w:t xml:space="preserve">he </w:t>
      </w:r>
      <w:r w:rsidR="001351F4" w:rsidRPr="00DC545E">
        <w:rPr>
          <w:sz w:val="24"/>
          <w:szCs w:val="24"/>
        </w:rPr>
        <w:t xml:space="preserve">effect of </w:t>
      </w:r>
      <w:r w:rsidR="00AC3724" w:rsidRPr="00DC545E">
        <w:rPr>
          <w:sz w:val="24"/>
          <w:szCs w:val="24"/>
        </w:rPr>
        <w:t xml:space="preserve">the </w:t>
      </w:r>
      <w:r w:rsidR="00060D10" w:rsidRPr="00DC545E">
        <w:rPr>
          <w:sz w:val="24"/>
          <w:szCs w:val="24"/>
        </w:rPr>
        <w:t xml:space="preserve">Chase level 2 </w:t>
      </w:r>
      <w:r w:rsidR="001351F4" w:rsidRPr="00DC545E">
        <w:rPr>
          <w:sz w:val="24"/>
          <w:szCs w:val="24"/>
        </w:rPr>
        <w:t xml:space="preserve">meaning determination </w:t>
      </w:r>
      <w:r w:rsidR="00060D10" w:rsidRPr="00DC545E">
        <w:rPr>
          <w:sz w:val="24"/>
          <w:szCs w:val="24"/>
        </w:rPr>
        <w:t xml:space="preserve">was that the </w:t>
      </w:r>
      <w:r w:rsidR="001351F4" w:rsidRPr="00DC545E">
        <w:rPr>
          <w:sz w:val="24"/>
          <w:szCs w:val="24"/>
        </w:rPr>
        <w:t xml:space="preserve">s.2 </w:t>
      </w:r>
      <w:r w:rsidR="00060D10" w:rsidRPr="00DC545E">
        <w:rPr>
          <w:sz w:val="24"/>
          <w:szCs w:val="24"/>
        </w:rPr>
        <w:t xml:space="preserve">defence </w:t>
      </w:r>
      <w:r w:rsidR="001351F4" w:rsidRPr="00DC545E">
        <w:rPr>
          <w:sz w:val="24"/>
          <w:szCs w:val="24"/>
        </w:rPr>
        <w:t>could only fail if the O</w:t>
      </w:r>
      <w:r w:rsidR="00060D10" w:rsidRPr="00DC545E">
        <w:rPr>
          <w:sz w:val="24"/>
          <w:szCs w:val="24"/>
        </w:rPr>
        <w:t xml:space="preserve">pinion was </w:t>
      </w:r>
      <w:r w:rsidR="00F74454" w:rsidRPr="00DC545E">
        <w:rPr>
          <w:sz w:val="24"/>
          <w:szCs w:val="24"/>
        </w:rPr>
        <w:t xml:space="preserve">a perverse </w:t>
      </w:r>
      <w:r w:rsidR="00060D10" w:rsidRPr="00DC545E">
        <w:rPr>
          <w:sz w:val="24"/>
          <w:szCs w:val="24"/>
        </w:rPr>
        <w:t xml:space="preserve">interpretation of the Answer in the context of the Interview. </w:t>
      </w:r>
      <w:r w:rsidR="00883C7A" w:rsidRPr="00DC545E">
        <w:rPr>
          <w:sz w:val="24"/>
          <w:szCs w:val="24"/>
        </w:rPr>
        <w:t xml:space="preserve"> </w:t>
      </w:r>
      <w:r w:rsidR="00F74454" w:rsidRPr="00DC545E">
        <w:rPr>
          <w:sz w:val="24"/>
          <w:szCs w:val="24"/>
        </w:rPr>
        <w:t xml:space="preserve">Although the Judge cited the Chase </w:t>
      </w:r>
      <w:r w:rsidR="00666206" w:rsidRPr="00DC545E">
        <w:rPr>
          <w:sz w:val="24"/>
          <w:szCs w:val="24"/>
        </w:rPr>
        <w:t xml:space="preserve">level </w:t>
      </w:r>
      <w:r w:rsidR="00F74454" w:rsidRPr="00DC545E">
        <w:rPr>
          <w:sz w:val="24"/>
          <w:szCs w:val="24"/>
        </w:rPr>
        <w:t xml:space="preserve">2 meaning at the start of </w:t>
      </w:r>
      <w:r w:rsidR="00883C7A" w:rsidRPr="00DC545E">
        <w:rPr>
          <w:sz w:val="24"/>
          <w:szCs w:val="24"/>
        </w:rPr>
        <w:t xml:space="preserve">paragraph </w:t>
      </w:r>
      <w:r w:rsidR="00F74454" w:rsidRPr="00DC545E">
        <w:rPr>
          <w:sz w:val="24"/>
          <w:szCs w:val="24"/>
        </w:rPr>
        <w:t>134</w:t>
      </w:r>
      <w:r w:rsidR="00AC3724" w:rsidRPr="00DC545E">
        <w:rPr>
          <w:sz w:val="24"/>
          <w:szCs w:val="24"/>
        </w:rPr>
        <w:t>,</w:t>
      </w:r>
      <w:r w:rsidR="00F74454" w:rsidRPr="00DC545E">
        <w:rPr>
          <w:sz w:val="24"/>
          <w:szCs w:val="24"/>
        </w:rPr>
        <w:t xml:space="preserve"> his analysis was solely directed to a finding that </w:t>
      </w:r>
      <w:r w:rsidR="00060D10" w:rsidRPr="00DC545E">
        <w:rPr>
          <w:sz w:val="24"/>
          <w:szCs w:val="24"/>
        </w:rPr>
        <w:t xml:space="preserve">the Claimant </w:t>
      </w:r>
      <w:r w:rsidR="00F74454" w:rsidRPr="00DC545E">
        <w:rPr>
          <w:i/>
          <w:iCs/>
          <w:sz w:val="24"/>
          <w:szCs w:val="24"/>
        </w:rPr>
        <w:t>had not</w:t>
      </w:r>
      <w:r w:rsidR="00F74454" w:rsidRPr="00DC545E">
        <w:rPr>
          <w:sz w:val="24"/>
          <w:szCs w:val="24"/>
        </w:rPr>
        <w:t xml:space="preserve"> </w:t>
      </w:r>
      <w:r w:rsidR="00060D10" w:rsidRPr="00DC545E">
        <w:rPr>
          <w:sz w:val="24"/>
          <w:szCs w:val="24"/>
        </w:rPr>
        <w:t>called Hamas freedom fighters</w:t>
      </w:r>
      <w:r w:rsidR="00F74454" w:rsidRPr="00DC545E">
        <w:rPr>
          <w:sz w:val="24"/>
          <w:szCs w:val="24"/>
        </w:rPr>
        <w:t xml:space="preserve">. </w:t>
      </w:r>
      <w:r w:rsidR="00060D10" w:rsidRPr="00DC545E">
        <w:rPr>
          <w:sz w:val="24"/>
          <w:szCs w:val="24"/>
        </w:rPr>
        <w:t xml:space="preserve">This is evident from </w:t>
      </w:r>
      <w:r w:rsidR="00883C7A" w:rsidRPr="00DC545E">
        <w:rPr>
          <w:sz w:val="24"/>
          <w:szCs w:val="24"/>
        </w:rPr>
        <w:t xml:space="preserve">paragraph </w:t>
      </w:r>
      <w:r w:rsidR="00060D10" w:rsidRPr="00DC545E">
        <w:rPr>
          <w:sz w:val="24"/>
          <w:szCs w:val="24"/>
        </w:rPr>
        <w:t>135 where the Judge referred to the “</w:t>
      </w:r>
      <w:r w:rsidR="00060D10" w:rsidRPr="00DC545E">
        <w:rPr>
          <w:i/>
          <w:iCs/>
          <w:sz w:val="24"/>
          <w:szCs w:val="24"/>
          <w:u w:val="single"/>
        </w:rPr>
        <w:t>contrary</w:t>
      </w:r>
      <w:r w:rsidR="00060D10" w:rsidRPr="00DC545E">
        <w:rPr>
          <w:i/>
          <w:iCs/>
          <w:sz w:val="24"/>
          <w:szCs w:val="24"/>
        </w:rPr>
        <w:t xml:space="preserve"> opinion that Mr Vince </w:t>
      </w:r>
      <w:r w:rsidR="00060D10" w:rsidRPr="00DC545E">
        <w:rPr>
          <w:i/>
          <w:iCs/>
          <w:sz w:val="24"/>
          <w:szCs w:val="24"/>
          <w:u w:val="single"/>
        </w:rPr>
        <w:t>had</w:t>
      </w:r>
      <w:r w:rsidR="00060D10" w:rsidRPr="00DC545E">
        <w:rPr>
          <w:i/>
          <w:iCs/>
          <w:sz w:val="24"/>
          <w:szCs w:val="24"/>
        </w:rPr>
        <w:t xml:space="preserve"> called Hamas freedom fighters</w:t>
      </w:r>
      <w:r w:rsidR="00060D10" w:rsidRPr="00DC545E">
        <w:rPr>
          <w:sz w:val="24"/>
          <w:szCs w:val="24"/>
        </w:rPr>
        <w:t>”</w:t>
      </w:r>
      <w:r w:rsidR="00AC3724" w:rsidRPr="00DC545E">
        <w:rPr>
          <w:sz w:val="24"/>
          <w:szCs w:val="24"/>
        </w:rPr>
        <w:t xml:space="preserve"> [emphasis added]</w:t>
      </w:r>
      <w:r w:rsidR="00060D10" w:rsidRPr="00DC545E">
        <w:rPr>
          <w:sz w:val="24"/>
          <w:szCs w:val="24"/>
        </w:rPr>
        <w:t xml:space="preserve">. </w:t>
      </w:r>
      <w:r w:rsidR="00F74454" w:rsidRPr="00DC545E">
        <w:rPr>
          <w:sz w:val="24"/>
          <w:szCs w:val="24"/>
        </w:rPr>
        <w:t xml:space="preserve"> </w:t>
      </w:r>
      <w:r w:rsidRPr="00DC545E">
        <w:rPr>
          <w:sz w:val="24"/>
          <w:szCs w:val="24"/>
        </w:rPr>
        <w:t xml:space="preserve">There was no finding </w:t>
      </w:r>
      <w:r>
        <w:rPr>
          <w:sz w:val="24"/>
          <w:szCs w:val="24"/>
        </w:rPr>
        <w:t xml:space="preserve">to the effect that </w:t>
      </w:r>
      <w:r w:rsidRPr="00DC545E">
        <w:rPr>
          <w:sz w:val="24"/>
          <w:szCs w:val="24"/>
        </w:rPr>
        <w:t>the Opinion was a</w:t>
      </w:r>
      <w:r>
        <w:rPr>
          <w:sz w:val="24"/>
          <w:szCs w:val="24"/>
        </w:rPr>
        <w:t xml:space="preserve"> perverse </w:t>
      </w:r>
      <w:r w:rsidRPr="00DC545E">
        <w:rPr>
          <w:sz w:val="24"/>
          <w:szCs w:val="24"/>
        </w:rPr>
        <w:t xml:space="preserve">interpretation of the </w:t>
      </w:r>
      <w:r w:rsidR="00EF08B2">
        <w:rPr>
          <w:sz w:val="24"/>
          <w:szCs w:val="24"/>
        </w:rPr>
        <w:t xml:space="preserve">Answer in the context of the </w:t>
      </w:r>
      <w:r w:rsidRPr="00DC545E">
        <w:rPr>
          <w:sz w:val="24"/>
          <w:szCs w:val="24"/>
        </w:rPr>
        <w:t>Interview.</w:t>
      </w:r>
    </w:p>
    <w:p w14:paraId="5151229F" w14:textId="695ABB33" w:rsidR="00735930" w:rsidRPr="00735930" w:rsidRDefault="00735930" w:rsidP="00735930">
      <w:pPr>
        <w:spacing w:before="240" w:after="240" w:line="360" w:lineRule="auto"/>
        <w:rPr>
          <w:b/>
          <w:bCs/>
          <w:sz w:val="24"/>
          <w:szCs w:val="24"/>
        </w:rPr>
      </w:pPr>
      <w:bookmarkStart w:id="3" w:name="_Hlk195101691"/>
      <w:r>
        <w:rPr>
          <w:b/>
          <w:bCs/>
          <w:sz w:val="24"/>
          <w:szCs w:val="24"/>
        </w:rPr>
        <w:t>Further Preliminary Trial on s.3(5)</w:t>
      </w:r>
    </w:p>
    <w:bookmarkEnd w:id="3"/>
    <w:p w14:paraId="622D0185" w14:textId="5B7A7DED" w:rsidR="008A3D34" w:rsidRDefault="00735930" w:rsidP="00735930">
      <w:pPr>
        <w:pStyle w:val="ListParagraph"/>
        <w:numPr>
          <w:ilvl w:val="0"/>
          <w:numId w:val="1"/>
        </w:numPr>
        <w:spacing w:before="240" w:after="240" w:line="360" w:lineRule="auto"/>
        <w:rPr>
          <w:sz w:val="24"/>
          <w:szCs w:val="24"/>
        </w:rPr>
      </w:pPr>
      <w:r>
        <w:rPr>
          <w:sz w:val="24"/>
          <w:szCs w:val="24"/>
        </w:rPr>
        <w:t>Alternatively</w:t>
      </w:r>
      <w:r w:rsidR="00855AE6">
        <w:rPr>
          <w:sz w:val="24"/>
          <w:szCs w:val="24"/>
        </w:rPr>
        <w:t xml:space="preserve"> </w:t>
      </w:r>
      <w:r>
        <w:rPr>
          <w:sz w:val="24"/>
          <w:szCs w:val="24"/>
        </w:rPr>
        <w:t>to paragraphs 1 to 4 above, the Judge</w:t>
      </w:r>
      <w:r w:rsidR="001103CF">
        <w:rPr>
          <w:sz w:val="24"/>
          <w:szCs w:val="24"/>
        </w:rPr>
        <w:t xml:space="preserve">’s refusal or failure to </w:t>
      </w:r>
      <w:r>
        <w:rPr>
          <w:sz w:val="24"/>
          <w:szCs w:val="24"/>
        </w:rPr>
        <w:t>order a further preliminary trial on s.3(5)</w:t>
      </w:r>
      <w:r w:rsidR="00361525">
        <w:rPr>
          <w:sz w:val="24"/>
          <w:szCs w:val="24"/>
        </w:rPr>
        <w:t xml:space="preserve"> </w:t>
      </w:r>
      <w:r w:rsidR="00D1718C">
        <w:rPr>
          <w:sz w:val="24"/>
          <w:szCs w:val="24"/>
        </w:rPr>
        <w:t xml:space="preserve">(“the s.3(5) trial”) </w:t>
      </w:r>
      <w:r w:rsidR="00361525">
        <w:rPr>
          <w:sz w:val="24"/>
          <w:szCs w:val="24"/>
        </w:rPr>
        <w:t>was wrong</w:t>
      </w:r>
      <w:r w:rsidR="00C30CE6">
        <w:rPr>
          <w:sz w:val="24"/>
          <w:szCs w:val="24"/>
        </w:rPr>
        <w:t xml:space="preserve">. It </w:t>
      </w:r>
      <w:r w:rsidR="00361525">
        <w:rPr>
          <w:sz w:val="24"/>
          <w:szCs w:val="24"/>
        </w:rPr>
        <w:t>involved a failure to evaluate the benefits of</w:t>
      </w:r>
      <w:r w:rsidR="00C30CE6">
        <w:rPr>
          <w:sz w:val="24"/>
          <w:szCs w:val="24"/>
        </w:rPr>
        <w:t xml:space="preserve"> </w:t>
      </w:r>
      <w:r w:rsidR="00361525">
        <w:rPr>
          <w:sz w:val="24"/>
          <w:szCs w:val="24"/>
        </w:rPr>
        <w:t xml:space="preserve">such </w:t>
      </w:r>
      <w:r w:rsidR="00D1718C">
        <w:rPr>
          <w:sz w:val="24"/>
          <w:szCs w:val="24"/>
        </w:rPr>
        <w:t xml:space="preserve">a </w:t>
      </w:r>
      <w:r w:rsidR="00361525">
        <w:rPr>
          <w:sz w:val="24"/>
          <w:szCs w:val="24"/>
        </w:rPr>
        <w:t>trial</w:t>
      </w:r>
      <w:r w:rsidR="00D1718C">
        <w:rPr>
          <w:sz w:val="24"/>
          <w:szCs w:val="24"/>
        </w:rPr>
        <w:t>;</w:t>
      </w:r>
      <w:r w:rsidR="008A3D34">
        <w:rPr>
          <w:sz w:val="24"/>
          <w:szCs w:val="24"/>
        </w:rPr>
        <w:t xml:space="preserve"> and/or </w:t>
      </w:r>
      <w:r w:rsidR="00361525">
        <w:rPr>
          <w:sz w:val="24"/>
          <w:szCs w:val="24"/>
        </w:rPr>
        <w:t xml:space="preserve">proceeded on </w:t>
      </w:r>
      <w:r w:rsidR="008A3D34">
        <w:rPr>
          <w:sz w:val="24"/>
          <w:szCs w:val="24"/>
        </w:rPr>
        <w:t xml:space="preserve">a </w:t>
      </w:r>
      <w:r w:rsidR="004B3EE1">
        <w:rPr>
          <w:sz w:val="24"/>
          <w:szCs w:val="24"/>
        </w:rPr>
        <w:t xml:space="preserve">mistaken </w:t>
      </w:r>
      <w:r w:rsidR="008A3D34">
        <w:rPr>
          <w:sz w:val="24"/>
          <w:szCs w:val="24"/>
        </w:rPr>
        <w:t xml:space="preserve">basis as </w:t>
      </w:r>
      <w:r w:rsidR="008A3D34">
        <w:rPr>
          <w:sz w:val="24"/>
          <w:szCs w:val="24"/>
        </w:rPr>
        <w:lastRenderedPageBreak/>
        <w:t xml:space="preserve">to </w:t>
      </w:r>
      <w:r w:rsidR="00C30CE6">
        <w:rPr>
          <w:sz w:val="24"/>
          <w:szCs w:val="24"/>
        </w:rPr>
        <w:t xml:space="preserve">(a) </w:t>
      </w:r>
      <w:r w:rsidR="008A3D34">
        <w:rPr>
          <w:sz w:val="24"/>
          <w:szCs w:val="24"/>
        </w:rPr>
        <w:t xml:space="preserve">the need for (or presence of) a formal application and </w:t>
      </w:r>
      <w:r w:rsidR="00C30CE6">
        <w:rPr>
          <w:sz w:val="24"/>
          <w:szCs w:val="24"/>
        </w:rPr>
        <w:t xml:space="preserve">(b) </w:t>
      </w:r>
      <w:r w:rsidR="008A3D34">
        <w:rPr>
          <w:sz w:val="24"/>
          <w:szCs w:val="24"/>
        </w:rPr>
        <w:t xml:space="preserve">normative practice in the Media and </w:t>
      </w:r>
      <w:r w:rsidR="004B3EE1">
        <w:rPr>
          <w:sz w:val="24"/>
          <w:szCs w:val="24"/>
        </w:rPr>
        <w:t>C</w:t>
      </w:r>
      <w:r w:rsidR="008A3D34">
        <w:rPr>
          <w:sz w:val="24"/>
          <w:szCs w:val="24"/>
        </w:rPr>
        <w:t>ommunications List</w:t>
      </w:r>
      <w:r w:rsidR="00D1718C">
        <w:rPr>
          <w:sz w:val="24"/>
          <w:szCs w:val="24"/>
        </w:rPr>
        <w:t>;</w:t>
      </w:r>
      <w:r w:rsidR="008A3D34">
        <w:rPr>
          <w:sz w:val="24"/>
          <w:szCs w:val="24"/>
        </w:rPr>
        <w:t xml:space="preserve"> and/or was unreasonable. </w:t>
      </w:r>
    </w:p>
    <w:p w14:paraId="617F040C" w14:textId="77777777" w:rsidR="008A3D34" w:rsidRDefault="008A3D34" w:rsidP="008A3D34">
      <w:pPr>
        <w:pStyle w:val="ListParagraph"/>
        <w:spacing w:before="240" w:after="240" w:line="360" w:lineRule="auto"/>
        <w:ind w:left="360"/>
        <w:rPr>
          <w:sz w:val="24"/>
          <w:szCs w:val="24"/>
        </w:rPr>
      </w:pPr>
    </w:p>
    <w:p w14:paraId="3C089D49" w14:textId="1A6A324C" w:rsidR="001103CF" w:rsidRDefault="00D1718C" w:rsidP="008A3D34">
      <w:pPr>
        <w:pStyle w:val="ListParagraph"/>
        <w:numPr>
          <w:ilvl w:val="1"/>
          <w:numId w:val="1"/>
        </w:numPr>
        <w:spacing w:before="240" w:after="240" w:line="360" w:lineRule="auto"/>
        <w:rPr>
          <w:sz w:val="24"/>
          <w:szCs w:val="24"/>
        </w:rPr>
      </w:pPr>
      <w:r>
        <w:rPr>
          <w:sz w:val="24"/>
          <w:szCs w:val="24"/>
        </w:rPr>
        <w:t>Paragraphs 11 to 13 of the order of 8 April 2025</w:t>
      </w:r>
      <w:r w:rsidR="00EF08B2">
        <w:rPr>
          <w:sz w:val="24"/>
          <w:szCs w:val="24"/>
        </w:rPr>
        <w:t>,</w:t>
      </w:r>
      <w:r>
        <w:rPr>
          <w:sz w:val="24"/>
          <w:szCs w:val="24"/>
        </w:rPr>
        <w:t xml:space="preserve"> consequential on the judgment of 11 February</w:t>
      </w:r>
      <w:r w:rsidR="00EF08B2">
        <w:rPr>
          <w:sz w:val="24"/>
          <w:szCs w:val="24"/>
        </w:rPr>
        <w:t>,</w:t>
      </w:r>
      <w:r>
        <w:rPr>
          <w:sz w:val="24"/>
          <w:szCs w:val="24"/>
        </w:rPr>
        <w:t xml:space="preserve"> provided for service of re-amended Particulars of Claim and a Defence followed by unspecified further </w:t>
      </w:r>
      <w:bookmarkStart w:id="4" w:name="_Hlk195266730"/>
      <w:r>
        <w:rPr>
          <w:sz w:val="24"/>
          <w:szCs w:val="24"/>
        </w:rPr>
        <w:t>case management by Master Dagnall</w:t>
      </w:r>
      <w:bookmarkEnd w:id="4"/>
      <w:r>
        <w:rPr>
          <w:sz w:val="24"/>
          <w:szCs w:val="24"/>
        </w:rPr>
        <w:t xml:space="preserve">.  </w:t>
      </w:r>
      <w:r w:rsidR="007A7A5E">
        <w:rPr>
          <w:sz w:val="24"/>
          <w:szCs w:val="24"/>
        </w:rPr>
        <w:t xml:space="preserve">Paragraph 2 of the Reasons </w:t>
      </w:r>
      <w:r w:rsidR="00340BEA">
        <w:rPr>
          <w:sz w:val="24"/>
          <w:szCs w:val="24"/>
        </w:rPr>
        <w:t xml:space="preserve">for the order </w:t>
      </w:r>
      <w:r>
        <w:rPr>
          <w:sz w:val="24"/>
          <w:szCs w:val="24"/>
        </w:rPr>
        <w:t>merely stated that this was “</w:t>
      </w:r>
      <w:r w:rsidRPr="00D1718C">
        <w:rPr>
          <w:i/>
          <w:iCs/>
          <w:sz w:val="24"/>
          <w:szCs w:val="24"/>
        </w:rPr>
        <w:t>appropriate</w:t>
      </w:r>
      <w:r>
        <w:rPr>
          <w:sz w:val="24"/>
          <w:szCs w:val="24"/>
        </w:rPr>
        <w:t xml:space="preserve">”. </w:t>
      </w:r>
      <w:r w:rsidR="007A7A5E">
        <w:rPr>
          <w:sz w:val="24"/>
          <w:szCs w:val="24"/>
        </w:rPr>
        <w:t xml:space="preserve">Following a request </w:t>
      </w:r>
      <w:r>
        <w:rPr>
          <w:sz w:val="24"/>
          <w:szCs w:val="24"/>
        </w:rPr>
        <w:t xml:space="preserve">by the Defendant </w:t>
      </w:r>
      <w:r w:rsidR="007A7A5E">
        <w:rPr>
          <w:sz w:val="24"/>
          <w:szCs w:val="24"/>
        </w:rPr>
        <w:t>for an explanation of why this was “</w:t>
      </w:r>
      <w:r w:rsidR="007A7A5E" w:rsidRPr="007A7A5E">
        <w:rPr>
          <w:i/>
          <w:iCs/>
          <w:sz w:val="24"/>
          <w:szCs w:val="24"/>
        </w:rPr>
        <w:t>appropriate</w:t>
      </w:r>
      <w:r w:rsidR="007A7A5E">
        <w:rPr>
          <w:sz w:val="24"/>
          <w:szCs w:val="24"/>
        </w:rPr>
        <w:t>”</w:t>
      </w:r>
      <w:r>
        <w:rPr>
          <w:sz w:val="24"/>
          <w:szCs w:val="24"/>
        </w:rPr>
        <w:t xml:space="preserve"> and the reason for not ordering the s.3(5) trial</w:t>
      </w:r>
      <w:r w:rsidR="007A7A5E">
        <w:rPr>
          <w:sz w:val="24"/>
          <w:szCs w:val="24"/>
        </w:rPr>
        <w:t xml:space="preserve">, the Judge stated </w:t>
      </w:r>
      <w:r>
        <w:rPr>
          <w:sz w:val="24"/>
          <w:szCs w:val="24"/>
        </w:rPr>
        <w:t xml:space="preserve">(a) </w:t>
      </w:r>
      <w:r w:rsidR="007A7A5E">
        <w:rPr>
          <w:sz w:val="24"/>
          <w:szCs w:val="24"/>
        </w:rPr>
        <w:t>that there was no “</w:t>
      </w:r>
      <w:r w:rsidR="007A7A5E" w:rsidRPr="007A7A5E">
        <w:rPr>
          <w:i/>
          <w:iCs/>
          <w:sz w:val="24"/>
          <w:szCs w:val="24"/>
        </w:rPr>
        <w:t>formal application</w:t>
      </w:r>
      <w:r w:rsidR="007A7A5E">
        <w:rPr>
          <w:sz w:val="24"/>
          <w:szCs w:val="24"/>
        </w:rPr>
        <w:t xml:space="preserve">” for a further preliminary trial before the Court and </w:t>
      </w:r>
      <w:r>
        <w:rPr>
          <w:sz w:val="24"/>
          <w:szCs w:val="24"/>
        </w:rPr>
        <w:t xml:space="preserve">(b) </w:t>
      </w:r>
      <w:r w:rsidR="007A7A5E">
        <w:rPr>
          <w:sz w:val="24"/>
          <w:szCs w:val="24"/>
        </w:rPr>
        <w:t>that “</w:t>
      </w:r>
      <w:r>
        <w:rPr>
          <w:sz w:val="24"/>
          <w:szCs w:val="24"/>
        </w:rPr>
        <w:t>c</w:t>
      </w:r>
      <w:r w:rsidR="007A7A5E" w:rsidRPr="007A7A5E">
        <w:rPr>
          <w:i/>
          <w:iCs/>
          <w:sz w:val="24"/>
          <w:szCs w:val="24"/>
        </w:rPr>
        <w:t>ase management in the King’s Bench Division by masters is the norm</w:t>
      </w:r>
      <w:r w:rsidR="007A7A5E">
        <w:rPr>
          <w:sz w:val="24"/>
          <w:szCs w:val="24"/>
        </w:rPr>
        <w:t xml:space="preserve">”.  </w:t>
      </w:r>
      <w:r>
        <w:rPr>
          <w:sz w:val="24"/>
          <w:szCs w:val="24"/>
        </w:rPr>
        <w:t>In relation to (a), t</w:t>
      </w:r>
      <w:r w:rsidR="007A7A5E">
        <w:rPr>
          <w:sz w:val="24"/>
          <w:szCs w:val="24"/>
        </w:rPr>
        <w:t>here was a</w:t>
      </w:r>
      <w:r w:rsidR="00620B79">
        <w:rPr>
          <w:sz w:val="24"/>
          <w:szCs w:val="24"/>
        </w:rPr>
        <w:t xml:space="preserve"> formal </w:t>
      </w:r>
      <w:r w:rsidR="007A7A5E">
        <w:rPr>
          <w:sz w:val="24"/>
          <w:szCs w:val="24"/>
        </w:rPr>
        <w:t xml:space="preserve">application before the Court in the </w:t>
      </w:r>
      <w:r w:rsidR="00620B79">
        <w:rPr>
          <w:sz w:val="24"/>
          <w:szCs w:val="24"/>
        </w:rPr>
        <w:t xml:space="preserve">draft order and </w:t>
      </w:r>
      <w:r w:rsidR="007A7A5E">
        <w:rPr>
          <w:sz w:val="24"/>
          <w:szCs w:val="24"/>
        </w:rPr>
        <w:t xml:space="preserve">written submissions </w:t>
      </w:r>
      <w:r w:rsidR="00620B79">
        <w:rPr>
          <w:sz w:val="24"/>
          <w:szCs w:val="24"/>
        </w:rPr>
        <w:t xml:space="preserve">of the </w:t>
      </w:r>
      <w:r w:rsidR="007A7A5E">
        <w:rPr>
          <w:sz w:val="24"/>
          <w:szCs w:val="24"/>
        </w:rPr>
        <w:t xml:space="preserve">Defendant on 20 February 2024 pursuant to paragraph 2 of the order of 11 February 2024.  </w:t>
      </w:r>
      <w:r>
        <w:rPr>
          <w:sz w:val="24"/>
          <w:szCs w:val="24"/>
        </w:rPr>
        <w:t>In relation to (b), c</w:t>
      </w:r>
      <w:r w:rsidR="007A7A5E">
        <w:rPr>
          <w:sz w:val="24"/>
          <w:szCs w:val="24"/>
        </w:rPr>
        <w:t xml:space="preserve">ase management decisions in the specialist Media and Communications List are more commonly made </w:t>
      </w:r>
      <w:r w:rsidR="00340BEA">
        <w:rPr>
          <w:sz w:val="24"/>
          <w:szCs w:val="24"/>
        </w:rPr>
        <w:t xml:space="preserve">by </w:t>
      </w:r>
      <w:r w:rsidR="007A7A5E">
        <w:rPr>
          <w:sz w:val="24"/>
          <w:szCs w:val="24"/>
        </w:rPr>
        <w:t xml:space="preserve">judges. In any event, the Judge was considering directions consequential on </w:t>
      </w:r>
      <w:r w:rsidR="009228DD">
        <w:rPr>
          <w:sz w:val="24"/>
          <w:szCs w:val="24"/>
        </w:rPr>
        <w:t xml:space="preserve">a </w:t>
      </w:r>
      <w:r w:rsidR="007A7A5E">
        <w:rPr>
          <w:sz w:val="24"/>
          <w:szCs w:val="24"/>
        </w:rPr>
        <w:t xml:space="preserve">trial </w:t>
      </w:r>
      <w:r w:rsidR="009228DD">
        <w:rPr>
          <w:sz w:val="24"/>
          <w:szCs w:val="24"/>
        </w:rPr>
        <w:t xml:space="preserve">before him </w:t>
      </w:r>
      <w:r w:rsidR="00891AE7">
        <w:rPr>
          <w:sz w:val="24"/>
          <w:szCs w:val="24"/>
        </w:rPr>
        <w:t xml:space="preserve">which </w:t>
      </w:r>
      <w:r w:rsidR="007A7A5E">
        <w:rPr>
          <w:sz w:val="24"/>
          <w:szCs w:val="24"/>
        </w:rPr>
        <w:t xml:space="preserve">had upheld the s.3 defence in relation to both publications complained of and left only s.3(5) in issue.  </w:t>
      </w:r>
    </w:p>
    <w:p w14:paraId="1DCE91EE" w14:textId="77777777" w:rsidR="001103CF" w:rsidRDefault="001103CF" w:rsidP="001103CF">
      <w:pPr>
        <w:pStyle w:val="ListParagraph"/>
        <w:spacing w:before="240" w:after="240" w:line="360" w:lineRule="auto"/>
        <w:ind w:left="360"/>
        <w:rPr>
          <w:sz w:val="24"/>
          <w:szCs w:val="24"/>
        </w:rPr>
      </w:pPr>
    </w:p>
    <w:p w14:paraId="21549E74" w14:textId="77777777" w:rsidR="00340BEA" w:rsidRDefault="003344F0" w:rsidP="00340BEA">
      <w:pPr>
        <w:pStyle w:val="ListParagraph"/>
        <w:numPr>
          <w:ilvl w:val="1"/>
          <w:numId w:val="1"/>
        </w:numPr>
        <w:spacing w:before="240" w:after="240" w:line="360" w:lineRule="auto"/>
        <w:rPr>
          <w:sz w:val="24"/>
          <w:szCs w:val="24"/>
        </w:rPr>
      </w:pPr>
      <w:r>
        <w:rPr>
          <w:sz w:val="24"/>
          <w:szCs w:val="24"/>
        </w:rPr>
        <w:t xml:space="preserve">Directions for </w:t>
      </w:r>
      <w:r w:rsidR="00340BEA">
        <w:rPr>
          <w:sz w:val="24"/>
          <w:szCs w:val="24"/>
        </w:rPr>
        <w:t xml:space="preserve">the </w:t>
      </w:r>
      <w:r>
        <w:rPr>
          <w:sz w:val="24"/>
          <w:szCs w:val="24"/>
        </w:rPr>
        <w:t xml:space="preserve">s.3(5) </w:t>
      </w:r>
      <w:r w:rsidR="00340BEA">
        <w:rPr>
          <w:sz w:val="24"/>
          <w:szCs w:val="24"/>
        </w:rPr>
        <w:t xml:space="preserve">trial </w:t>
      </w:r>
      <w:r>
        <w:rPr>
          <w:sz w:val="24"/>
          <w:szCs w:val="24"/>
        </w:rPr>
        <w:t>having been proposed by the Defendant</w:t>
      </w:r>
      <w:r w:rsidR="00D1718C">
        <w:rPr>
          <w:sz w:val="24"/>
          <w:szCs w:val="24"/>
        </w:rPr>
        <w:t xml:space="preserve"> and opposed by the Claimant</w:t>
      </w:r>
      <w:r>
        <w:rPr>
          <w:sz w:val="24"/>
          <w:szCs w:val="24"/>
        </w:rPr>
        <w:t>, i</w:t>
      </w:r>
      <w:r w:rsidR="007A7A5E">
        <w:rPr>
          <w:sz w:val="24"/>
          <w:szCs w:val="24"/>
        </w:rPr>
        <w:t xml:space="preserve">t </w:t>
      </w:r>
      <w:r w:rsidR="00D73491">
        <w:rPr>
          <w:sz w:val="24"/>
          <w:szCs w:val="24"/>
        </w:rPr>
        <w:t xml:space="preserve">was incumbent on the </w:t>
      </w:r>
      <w:r w:rsidR="007A7A5E">
        <w:rPr>
          <w:sz w:val="24"/>
          <w:szCs w:val="24"/>
        </w:rPr>
        <w:t xml:space="preserve">Judge to </w:t>
      </w:r>
      <w:r w:rsidR="008875CC">
        <w:rPr>
          <w:sz w:val="24"/>
          <w:szCs w:val="24"/>
        </w:rPr>
        <w:t xml:space="preserve">evaluate </w:t>
      </w:r>
      <w:r w:rsidR="00D73491">
        <w:rPr>
          <w:sz w:val="24"/>
          <w:szCs w:val="24"/>
        </w:rPr>
        <w:t xml:space="preserve">the </w:t>
      </w:r>
      <w:r w:rsidR="008875CC">
        <w:rPr>
          <w:sz w:val="24"/>
          <w:szCs w:val="24"/>
        </w:rPr>
        <w:t xml:space="preserve">reasons for and against such a trial </w:t>
      </w:r>
      <w:r w:rsidR="00D73491">
        <w:rPr>
          <w:sz w:val="24"/>
          <w:szCs w:val="24"/>
        </w:rPr>
        <w:t xml:space="preserve">and make a substantive determination of whether </w:t>
      </w:r>
      <w:r w:rsidR="00340BEA">
        <w:rPr>
          <w:sz w:val="24"/>
          <w:szCs w:val="24"/>
        </w:rPr>
        <w:t xml:space="preserve">it </w:t>
      </w:r>
      <w:r w:rsidR="00D73491">
        <w:rPr>
          <w:sz w:val="24"/>
          <w:szCs w:val="24"/>
        </w:rPr>
        <w:t xml:space="preserve">should be ordered. </w:t>
      </w:r>
    </w:p>
    <w:p w14:paraId="464F8A4D" w14:textId="77777777" w:rsidR="00340BEA" w:rsidRPr="00340BEA" w:rsidRDefault="00340BEA" w:rsidP="00340BEA">
      <w:pPr>
        <w:pStyle w:val="ListParagraph"/>
        <w:rPr>
          <w:sz w:val="24"/>
          <w:szCs w:val="24"/>
        </w:rPr>
      </w:pPr>
    </w:p>
    <w:p w14:paraId="7F6D413E" w14:textId="71329796" w:rsidR="007A7A5E" w:rsidRPr="00340BEA" w:rsidRDefault="003344F0" w:rsidP="00340BEA">
      <w:pPr>
        <w:pStyle w:val="ListParagraph"/>
        <w:numPr>
          <w:ilvl w:val="1"/>
          <w:numId w:val="1"/>
        </w:numPr>
        <w:spacing w:before="240" w:after="240" w:line="360" w:lineRule="auto"/>
        <w:rPr>
          <w:sz w:val="24"/>
          <w:szCs w:val="24"/>
        </w:rPr>
      </w:pPr>
      <w:r w:rsidRPr="00340BEA">
        <w:rPr>
          <w:sz w:val="24"/>
          <w:szCs w:val="24"/>
        </w:rPr>
        <w:t>Had the Judge made such a</w:t>
      </w:r>
      <w:r w:rsidR="008875CC" w:rsidRPr="00340BEA">
        <w:rPr>
          <w:sz w:val="24"/>
          <w:szCs w:val="24"/>
        </w:rPr>
        <w:t xml:space="preserve">n evaluation </w:t>
      </w:r>
      <w:r w:rsidR="001103CF" w:rsidRPr="00340BEA">
        <w:rPr>
          <w:sz w:val="24"/>
          <w:szCs w:val="24"/>
        </w:rPr>
        <w:t xml:space="preserve">he would have been bound to conclude that </w:t>
      </w:r>
      <w:r w:rsidR="00340BEA" w:rsidRPr="00340BEA">
        <w:rPr>
          <w:sz w:val="24"/>
          <w:szCs w:val="24"/>
        </w:rPr>
        <w:t xml:space="preserve">the </w:t>
      </w:r>
      <w:r w:rsidR="001103CF" w:rsidRPr="00340BEA">
        <w:rPr>
          <w:sz w:val="24"/>
          <w:szCs w:val="24"/>
        </w:rPr>
        <w:t xml:space="preserve">reasons for </w:t>
      </w:r>
      <w:r w:rsidR="00340BEA" w:rsidRPr="00340BEA">
        <w:rPr>
          <w:sz w:val="24"/>
          <w:szCs w:val="24"/>
        </w:rPr>
        <w:t xml:space="preserve">the s.3(5) </w:t>
      </w:r>
      <w:r w:rsidR="001103CF" w:rsidRPr="00340BEA">
        <w:rPr>
          <w:sz w:val="24"/>
          <w:szCs w:val="24"/>
        </w:rPr>
        <w:t xml:space="preserve">trial advanced by the Defendant were valid and the reason against advanced by the </w:t>
      </w:r>
      <w:r w:rsidR="00550B5A">
        <w:rPr>
          <w:sz w:val="24"/>
          <w:szCs w:val="24"/>
        </w:rPr>
        <w:t>Claimant</w:t>
      </w:r>
      <w:r w:rsidR="00550B5A" w:rsidRPr="00340BEA">
        <w:rPr>
          <w:sz w:val="24"/>
          <w:szCs w:val="24"/>
        </w:rPr>
        <w:t xml:space="preserve"> </w:t>
      </w:r>
      <w:r w:rsidR="008147DF">
        <w:rPr>
          <w:sz w:val="24"/>
          <w:szCs w:val="24"/>
        </w:rPr>
        <w:t xml:space="preserve">was </w:t>
      </w:r>
      <w:r w:rsidR="001103CF" w:rsidRPr="00340BEA">
        <w:rPr>
          <w:sz w:val="24"/>
          <w:szCs w:val="24"/>
        </w:rPr>
        <w:t xml:space="preserve">misconceived. </w:t>
      </w:r>
      <w:r w:rsidR="003478C7">
        <w:rPr>
          <w:sz w:val="24"/>
          <w:szCs w:val="24"/>
        </w:rPr>
        <w:t>Further or a</w:t>
      </w:r>
      <w:r w:rsidR="001103CF" w:rsidRPr="00340BEA">
        <w:rPr>
          <w:sz w:val="24"/>
          <w:szCs w:val="24"/>
        </w:rPr>
        <w:t xml:space="preserve">lternatively, </w:t>
      </w:r>
      <w:r w:rsidR="00D73491" w:rsidRPr="00340BEA">
        <w:rPr>
          <w:sz w:val="24"/>
          <w:szCs w:val="24"/>
        </w:rPr>
        <w:t xml:space="preserve">having taken into </w:t>
      </w:r>
      <w:r w:rsidRPr="00340BEA">
        <w:rPr>
          <w:sz w:val="24"/>
          <w:szCs w:val="24"/>
        </w:rPr>
        <w:t xml:space="preserve">account </w:t>
      </w:r>
      <w:r w:rsidR="009228DD" w:rsidRPr="00340BEA">
        <w:rPr>
          <w:sz w:val="24"/>
          <w:szCs w:val="24"/>
        </w:rPr>
        <w:t xml:space="preserve">the </w:t>
      </w:r>
      <w:r w:rsidR="00891AE7" w:rsidRPr="00340BEA">
        <w:rPr>
          <w:sz w:val="24"/>
          <w:szCs w:val="24"/>
        </w:rPr>
        <w:t xml:space="preserve">special value </w:t>
      </w:r>
      <w:r w:rsidR="00EF08B2">
        <w:rPr>
          <w:sz w:val="24"/>
          <w:szCs w:val="24"/>
        </w:rPr>
        <w:t xml:space="preserve">of </w:t>
      </w:r>
      <w:r w:rsidR="00891AE7" w:rsidRPr="00340BEA">
        <w:rPr>
          <w:sz w:val="24"/>
          <w:szCs w:val="24"/>
        </w:rPr>
        <w:t xml:space="preserve">early determination </w:t>
      </w:r>
      <w:r w:rsidR="00EF08B2">
        <w:rPr>
          <w:sz w:val="24"/>
          <w:szCs w:val="24"/>
        </w:rPr>
        <w:t xml:space="preserve">in </w:t>
      </w:r>
      <w:r w:rsidR="00891AE7" w:rsidRPr="00340BEA">
        <w:rPr>
          <w:sz w:val="24"/>
          <w:szCs w:val="24"/>
        </w:rPr>
        <w:t xml:space="preserve">defamation cases recognised by Warby LJ in </w:t>
      </w:r>
      <w:r w:rsidR="00891AE7" w:rsidRPr="00340BEA">
        <w:rPr>
          <w:i/>
          <w:iCs/>
          <w:sz w:val="24"/>
          <w:szCs w:val="24"/>
        </w:rPr>
        <w:t>Iqbal v Geo TV Ltd</w:t>
      </w:r>
      <w:r w:rsidR="00891AE7" w:rsidRPr="00340BEA">
        <w:rPr>
          <w:sz w:val="24"/>
          <w:szCs w:val="24"/>
        </w:rPr>
        <w:t xml:space="preserve"> [2024] EWCA Civ 1566 at [30]</w:t>
      </w:r>
      <w:r w:rsidRPr="00340BEA">
        <w:rPr>
          <w:sz w:val="24"/>
          <w:szCs w:val="24"/>
        </w:rPr>
        <w:t xml:space="preserve"> and the Claimant’s public statements </w:t>
      </w:r>
      <w:r w:rsidR="00D73491" w:rsidRPr="00340BEA">
        <w:rPr>
          <w:sz w:val="24"/>
          <w:szCs w:val="24"/>
        </w:rPr>
        <w:t xml:space="preserve">following the 11 February judgment </w:t>
      </w:r>
      <w:r w:rsidR="00340BEA" w:rsidRPr="00340BEA">
        <w:rPr>
          <w:sz w:val="24"/>
          <w:szCs w:val="24"/>
        </w:rPr>
        <w:t>(</w:t>
      </w:r>
      <w:r w:rsidRPr="00340BEA">
        <w:rPr>
          <w:sz w:val="24"/>
          <w:szCs w:val="24"/>
        </w:rPr>
        <w:t>to the effect that he had won the claim</w:t>
      </w:r>
      <w:r w:rsidR="001103CF" w:rsidRPr="00340BEA">
        <w:rPr>
          <w:sz w:val="24"/>
          <w:szCs w:val="24"/>
        </w:rPr>
        <w:t xml:space="preserve">, the </w:t>
      </w:r>
      <w:r w:rsidRPr="00340BEA">
        <w:rPr>
          <w:sz w:val="24"/>
          <w:szCs w:val="24"/>
        </w:rPr>
        <w:t>Defendant had been found to have lied</w:t>
      </w:r>
      <w:r w:rsidR="001103CF" w:rsidRPr="00340BEA">
        <w:rPr>
          <w:sz w:val="24"/>
          <w:szCs w:val="24"/>
        </w:rPr>
        <w:t xml:space="preserve"> and he has unlimited funds to pursue bad people</w:t>
      </w:r>
      <w:r w:rsidR="00340BEA" w:rsidRPr="00340BEA">
        <w:rPr>
          <w:sz w:val="24"/>
          <w:szCs w:val="24"/>
        </w:rPr>
        <w:t>)</w:t>
      </w:r>
      <w:r w:rsidR="00EF08B2">
        <w:rPr>
          <w:sz w:val="24"/>
          <w:szCs w:val="24"/>
        </w:rPr>
        <w:t>,</w:t>
      </w:r>
      <w:r w:rsidR="001103CF" w:rsidRPr="00340BEA">
        <w:rPr>
          <w:sz w:val="24"/>
          <w:szCs w:val="24"/>
        </w:rPr>
        <w:t xml:space="preserve"> the Judge </w:t>
      </w:r>
      <w:r w:rsidRPr="00340BEA">
        <w:rPr>
          <w:sz w:val="24"/>
          <w:szCs w:val="24"/>
        </w:rPr>
        <w:t xml:space="preserve">would have been bound to </w:t>
      </w:r>
      <w:r w:rsidR="001103CF" w:rsidRPr="00340BEA">
        <w:rPr>
          <w:sz w:val="24"/>
          <w:szCs w:val="24"/>
        </w:rPr>
        <w:t xml:space="preserve">conclude that any </w:t>
      </w:r>
      <w:r w:rsidR="001103CF" w:rsidRPr="00340BEA">
        <w:rPr>
          <w:sz w:val="24"/>
          <w:szCs w:val="24"/>
        </w:rPr>
        <w:lastRenderedPageBreak/>
        <w:t xml:space="preserve">balance of reasons for and against fell decisively in favour of </w:t>
      </w:r>
      <w:r w:rsidR="00340BEA" w:rsidRPr="00340BEA">
        <w:rPr>
          <w:sz w:val="24"/>
          <w:szCs w:val="24"/>
        </w:rPr>
        <w:t xml:space="preserve">the s.3(5) </w:t>
      </w:r>
      <w:r w:rsidR="001103CF" w:rsidRPr="00340BEA">
        <w:rPr>
          <w:sz w:val="24"/>
          <w:szCs w:val="24"/>
        </w:rPr>
        <w:t xml:space="preserve">trial. </w:t>
      </w:r>
      <w:r w:rsidR="008A3D34" w:rsidRPr="00340BEA">
        <w:rPr>
          <w:sz w:val="24"/>
          <w:szCs w:val="24"/>
        </w:rPr>
        <w:t>Accordingly, the refusal or failure to order the trial was unreasonable.</w:t>
      </w:r>
    </w:p>
    <w:sectPr w:rsidR="007A7A5E" w:rsidRPr="00340BEA" w:rsidSect="0008745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814F4" w14:textId="77777777" w:rsidR="00C77F3C" w:rsidRDefault="00C77F3C" w:rsidP="00313F03">
      <w:r>
        <w:separator/>
      </w:r>
    </w:p>
  </w:endnote>
  <w:endnote w:type="continuationSeparator" w:id="0">
    <w:p w14:paraId="09DE7018" w14:textId="77777777" w:rsidR="00C77F3C" w:rsidRDefault="00C77F3C" w:rsidP="0031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7999015"/>
      <w:docPartObj>
        <w:docPartGallery w:val="Page Numbers (Bottom of Page)"/>
        <w:docPartUnique/>
      </w:docPartObj>
    </w:sdtPr>
    <w:sdtEndPr>
      <w:rPr>
        <w:noProof/>
      </w:rPr>
    </w:sdtEndPr>
    <w:sdtContent>
      <w:p w14:paraId="7589117B" w14:textId="494A02F0" w:rsidR="00FC534D" w:rsidRDefault="00FC53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FFF531" w14:textId="77777777" w:rsidR="00FC534D" w:rsidRDefault="00FC5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57B49" w14:textId="77777777" w:rsidR="00C77F3C" w:rsidRDefault="00C77F3C" w:rsidP="00313F03">
      <w:r>
        <w:separator/>
      </w:r>
    </w:p>
  </w:footnote>
  <w:footnote w:type="continuationSeparator" w:id="0">
    <w:p w14:paraId="5AE97121" w14:textId="77777777" w:rsidR="00C77F3C" w:rsidRDefault="00C77F3C" w:rsidP="00313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5C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10"/>
    <w:rsid w:val="00010725"/>
    <w:rsid w:val="00030668"/>
    <w:rsid w:val="000321F6"/>
    <w:rsid w:val="00035C9D"/>
    <w:rsid w:val="00041F49"/>
    <w:rsid w:val="00042B9E"/>
    <w:rsid w:val="00043727"/>
    <w:rsid w:val="00044A2A"/>
    <w:rsid w:val="00046A47"/>
    <w:rsid w:val="00057E46"/>
    <w:rsid w:val="00060D10"/>
    <w:rsid w:val="0006370D"/>
    <w:rsid w:val="00063B68"/>
    <w:rsid w:val="00066A4C"/>
    <w:rsid w:val="00070273"/>
    <w:rsid w:val="00070605"/>
    <w:rsid w:val="000720FB"/>
    <w:rsid w:val="00074D54"/>
    <w:rsid w:val="00075070"/>
    <w:rsid w:val="00077181"/>
    <w:rsid w:val="00081CA1"/>
    <w:rsid w:val="00087453"/>
    <w:rsid w:val="00091CB9"/>
    <w:rsid w:val="0009209E"/>
    <w:rsid w:val="00094C30"/>
    <w:rsid w:val="00095778"/>
    <w:rsid w:val="000A0067"/>
    <w:rsid w:val="000A56D9"/>
    <w:rsid w:val="000A5BA5"/>
    <w:rsid w:val="000B009F"/>
    <w:rsid w:val="000B07F2"/>
    <w:rsid w:val="000B08E2"/>
    <w:rsid w:val="000C763F"/>
    <w:rsid w:val="000D7F0F"/>
    <w:rsid w:val="00104830"/>
    <w:rsid w:val="00105248"/>
    <w:rsid w:val="001056C1"/>
    <w:rsid w:val="00107322"/>
    <w:rsid w:val="001103CF"/>
    <w:rsid w:val="00121BDD"/>
    <w:rsid w:val="00126150"/>
    <w:rsid w:val="00127BE1"/>
    <w:rsid w:val="00130490"/>
    <w:rsid w:val="001309CB"/>
    <w:rsid w:val="00131F1A"/>
    <w:rsid w:val="001348FF"/>
    <w:rsid w:val="001351F4"/>
    <w:rsid w:val="00135733"/>
    <w:rsid w:val="00137F22"/>
    <w:rsid w:val="001410BF"/>
    <w:rsid w:val="0017770C"/>
    <w:rsid w:val="001826E6"/>
    <w:rsid w:val="00184EBF"/>
    <w:rsid w:val="0018508B"/>
    <w:rsid w:val="0018571A"/>
    <w:rsid w:val="001903A2"/>
    <w:rsid w:val="00192AFB"/>
    <w:rsid w:val="00196570"/>
    <w:rsid w:val="001A375E"/>
    <w:rsid w:val="001A4B6D"/>
    <w:rsid w:val="001A58D1"/>
    <w:rsid w:val="001A6E0A"/>
    <w:rsid w:val="001B3049"/>
    <w:rsid w:val="001B30EE"/>
    <w:rsid w:val="001B442B"/>
    <w:rsid w:val="001B510C"/>
    <w:rsid w:val="001C22AA"/>
    <w:rsid w:val="001C25E9"/>
    <w:rsid w:val="001C70FF"/>
    <w:rsid w:val="001D439A"/>
    <w:rsid w:val="001D71F5"/>
    <w:rsid w:val="001E061B"/>
    <w:rsid w:val="001E4A73"/>
    <w:rsid w:val="001F37E3"/>
    <w:rsid w:val="00200730"/>
    <w:rsid w:val="0020702A"/>
    <w:rsid w:val="002075EB"/>
    <w:rsid w:val="0021312B"/>
    <w:rsid w:val="00215C0C"/>
    <w:rsid w:val="00216694"/>
    <w:rsid w:val="0022306B"/>
    <w:rsid w:val="002316D1"/>
    <w:rsid w:val="002347B4"/>
    <w:rsid w:val="002373F7"/>
    <w:rsid w:val="0024097F"/>
    <w:rsid w:val="002426A1"/>
    <w:rsid w:val="00243EF0"/>
    <w:rsid w:val="002448F2"/>
    <w:rsid w:val="0026035B"/>
    <w:rsid w:val="002604CC"/>
    <w:rsid w:val="002624E0"/>
    <w:rsid w:val="002632FC"/>
    <w:rsid w:val="00264002"/>
    <w:rsid w:val="00277593"/>
    <w:rsid w:val="002858C9"/>
    <w:rsid w:val="00287EEB"/>
    <w:rsid w:val="00290D1B"/>
    <w:rsid w:val="00293BAD"/>
    <w:rsid w:val="002946DE"/>
    <w:rsid w:val="002960BB"/>
    <w:rsid w:val="00297682"/>
    <w:rsid w:val="002A1546"/>
    <w:rsid w:val="002A2B1F"/>
    <w:rsid w:val="002A2E87"/>
    <w:rsid w:val="002A39D5"/>
    <w:rsid w:val="002A6A40"/>
    <w:rsid w:val="002A78A1"/>
    <w:rsid w:val="002B4F0D"/>
    <w:rsid w:val="002C1FD7"/>
    <w:rsid w:val="002C51F1"/>
    <w:rsid w:val="002C6519"/>
    <w:rsid w:val="002C695B"/>
    <w:rsid w:val="002D0C61"/>
    <w:rsid w:val="002E0635"/>
    <w:rsid w:val="002E0D28"/>
    <w:rsid w:val="002E37FF"/>
    <w:rsid w:val="002E7D4D"/>
    <w:rsid w:val="002F0B79"/>
    <w:rsid w:val="002F0DCF"/>
    <w:rsid w:val="002F4821"/>
    <w:rsid w:val="00304185"/>
    <w:rsid w:val="00313F03"/>
    <w:rsid w:val="00317839"/>
    <w:rsid w:val="0032133F"/>
    <w:rsid w:val="00330CF9"/>
    <w:rsid w:val="003344F0"/>
    <w:rsid w:val="003370F3"/>
    <w:rsid w:val="00340BEA"/>
    <w:rsid w:val="003422FA"/>
    <w:rsid w:val="003460BD"/>
    <w:rsid w:val="003478C7"/>
    <w:rsid w:val="003514FB"/>
    <w:rsid w:val="0035338D"/>
    <w:rsid w:val="00361525"/>
    <w:rsid w:val="00362533"/>
    <w:rsid w:val="00365283"/>
    <w:rsid w:val="003663DE"/>
    <w:rsid w:val="003721B9"/>
    <w:rsid w:val="0037421D"/>
    <w:rsid w:val="00376916"/>
    <w:rsid w:val="0039037C"/>
    <w:rsid w:val="003A049F"/>
    <w:rsid w:val="003A13FD"/>
    <w:rsid w:val="003A65A6"/>
    <w:rsid w:val="003B6338"/>
    <w:rsid w:val="003B6769"/>
    <w:rsid w:val="003B708D"/>
    <w:rsid w:val="003B7BB0"/>
    <w:rsid w:val="003C2026"/>
    <w:rsid w:val="003C5E70"/>
    <w:rsid w:val="003D26ED"/>
    <w:rsid w:val="003D4A88"/>
    <w:rsid w:val="003D6913"/>
    <w:rsid w:val="003E2587"/>
    <w:rsid w:val="003E3436"/>
    <w:rsid w:val="003E6944"/>
    <w:rsid w:val="003E793A"/>
    <w:rsid w:val="003F2BAC"/>
    <w:rsid w:val="00403453"/>
    <w:rsid w:val="00403883"/>
    <w:rsid w:val="004200F2"/>
    <w:rsid w:val="004255D5"/>
    <w:rsid w:val="0043484B"/>
    <w:rsid w:val="0043505E"/>
    <w:rsid w:val="00435311"/>
    <w:rsid w:val="00441225"/>
    <w:rsid w:val="0044181D"/>
    <w:rsid w:val="00441EA8"/>
    <w:rsid w:val="00443F03"/>
    <w:rsid w:val="00450BBB"/>
    <w:rsid w:val="00451C5A"/>
    <w:rsid w:val="00453137"/>
    <w:rsid w:val="0045445F"/>
    <w:rsid w:val="00456FF6"/>
    <w:rsid w:val="004634C6"/>
    <w:rsid w:val="0046404C"/>
    <w:rsid w:val="004825B7"/>
    <w:rsid w:val="0048304F"/>
    <w:rsid w:val="00485B33"/>
    <w:rsid w:val="00494CA8"/>
    <w:rsid w:val="004957E2"/>
    <w:rsid w:val="00496411"/>
    <w:rsid w:val="004A286D"/>
    <w:rsid w:val="004B3EE1"/>
    <w:rsid w:val="004B3F45"/>
    <w:rsid w:val="004B65D1"/>
    <w:rsid w:val="004D378B"/>
    <w:rsid w:val="004D5921"/>
    <w:rsid w:val="004D5FA0"/>
    <w:rsid w:val="004D6806"/>
    <w:rsid w:val="004E2FC8"/>
    <w:rsid w:val="004F0C88"/>
    <w:rsid w:val="00501307"/>
    <w:rsid w:val="0050182E"/>
    <w:rsid w:val="00504096"/>
    <w:rsid w:val="00507373"/>
    <w:rsid w:val="00511EB6"/>
    <w:rsid w:val="00513677"/>
    <w:rsid w:val="005238E6"/>
    <w:rsid w:val="00535FA2"/>
    <w:rsid w:val="00535FBB"/>
    <w:rsid w:val="005404BB"/>
    <w:rsid w:val="00541D09"/>
    <w:rsid w:val="005437F3"/>
    <w:rsid w:val="00550B5A"/>
    <w:rsid w:val="00552402"/>
    <w:rsid w:val="00555EA1"/>
    <w:rsid w:val="00556C4F"/>
    <w:rsid w:val="00566C4B"/>
    <w:rsid w:val="005730CE"/>
    <w:rsid w:val="00580246"/>
    <w:rsid w:val="005839F3"/>
    <w:rsid w:val="00584674"/>
    <w:rsid w:val="005905AE"/>
    <w:rsid w:val="00591A33"/>
    <w:rsid w:val="00596E1F"/>
    <w:rsid w:val="005A1839"/>
    <w:rsid w:val="005A60E3"/>
    <w:rsid w:val="005C098D"/>
    <w:rsid w:val="005C1B27"/>
    <w:rsid w:val="005D0403"/>
    <w:rsid w:val="005D12C6"/>
    <w:rsid w:val="005D4D61"/>
    <w:rsid w:val="005E10BF"/>
    <w:rsid w:val="005E1A2B"/>
    <w:rsid w:val="005E36EB"/>
    <w:rsid w:val="005E3F03"/>
    <w:rsid w:val="005E44DE"/>
    <w:rsid w:val="005E489F"/>
    <w:rsid w:val="005E7C3B"/>
    <w:rsid w:val="005F7352"/>
    <w:rsid w:val="0060191E"/>
    <w:rsid w:val="006060E0"/>
    <w:rsid w:val="0060665A"/>
    <w:rsid w:val="00613BEB"/>
    <w:rsid w:val="0061791C"/>
    <w:rsid w:val="00617E7B"/>
    <w:rsid w:val="00620B79"/>
    <w:rsid w:val="006240B7"/>
    <w:rsid w:val="006321A7"/>
    <w:rsid w:val="0063367F"/>
    <w:rsid w:val="006557FF"/>
    <w:rsid w:val="006624F7"/>
    <w:rsid w:val="00663640"/>
    <w:rsid w:val="00666206"/>
    <w:rsid w:val="00674830"/>
    <w:rsid w:val="00675266"/>
    <w:rsid w:val="00675B86"/>
    <w:rsid w:val="0068129E"/>
    <w:rsid w:val="0068291D"/>
    <w:rsid w:val="00690097"/>
    <w:rsid w:val="00694741"/>
    <w:rsid w:val="00696CE1"/>
    <w:rsid w:val="006A1E35"/>
    <w:rsid w:val="006A5EA1"/>
    <w:rsid w:val="006B1ACF"/>
    <w:rsid w:val="006B3D1C"/>
    <w:rsid w:val="006B4CC6"/>
    <w:rsid w:val="006B5953"/>
    <w:rsid w:val="006D28B8"/>
    <w:rsid w:val="006D42DE"/>
    <w:rsid w:val="006D5F4C"/>
    <w:rsid w:val="006D669D"/>
    <w:rsid w:val="006E69EE"/>
    <w:rsid w:val="006F161D"/>
    <w:rsid w:val="006F63FB"/>
    <w:rsid w:val="007049F1"/>
    <w:rsid w:val="007049F6"/>
    <w:rsid w:val="00711AFE"/>
    <w:rsid w:val="0071467C"/>
    <w:rsid w:val="00714D38"/>
    <w:rsid w:val="0071790A"/>
    <w:rsid w:val="00722954"/>
    <w:rsid w:val="0072318A"/>
    <w:rsid w:val="00727246"/>
    <w:rsid w:val="0072761F"/>
    <w:rsid w:val="007278BD"/>
    <w:rsid w:val="00730755"/>
    <w:rsid w:val="00731177"/>
    <w:rsid w:val="0073253E"/>
    <w:rsid w:val="00735930"/>
    <w:rsid w:val="00735D13"/>
    <w:rsid w:val="00737E38"/>
    <w:rsid w:val="00740CFB"/>
    <w:rsid w:val="00743065"/>
    <w:rsid w:val="0074310F"/>
    <w:rsid w:val="00762C24"/>
    <w:rsid w:val="007701DF"/>
    <w:rsid w:val="007839B7"/>
    <w:rsid w:val="00786742"/>
    <w:rsid w:val="00790923"/>
    <w:rsid w:val="007916CE"/>
    <w:rsid w:val="0079562E"/>
    <w:rsid w:val="007A2C3B"/>
    <w:rsid w:val="007A5EB4"/>
    <w:rsid w:val="007A7A5E"/>
    <w:rsid w:val="007B5064"/>
    <w:rsid w:val="007C20A5"/>
    <w:rsid w:val="007C4A00"/>
    <w:rsid w:val="007C7776"/>
    <w:rsid w:val="007D5E7A"/>
    <w:rsid w:val="007D6179"/>
    <w:rsid w:val="007E0EA8"/>
    <w:rsid w:val="007E63BF"/>
    <w:rsid w:val="007F0876"/>
    <w:rsid w:val="007F1A95"/>
    <w:rsid w:val="007F2188"/>
    <w:rsid w:val="007F7D97"/>
    <w:rsid w:val="00800D62"/>
    <w:rsid w:val="00802D9A"/>
    <w:rsid w:val="008147DF"/>
    <w:rsid w:val="00815F0C"/>
    <w:rsid w:val="00821911"/>
    <w:rsid w:val="008223DA"/>
    <w:rsid w:val="0082389A"/>
    <w:rsid w:val="00831E07"/>
    <w:rsid w:val="00835BEB"/>
    <w:rsid w:val="00846EAA"/>
    <w:rsid w:val="00850B01"/>
    <w:rsid w:val="008537CB"/>
    <w:rsid w:val="00854E61"/>
    <w:rsid w:val="00855AE6"/>
    <w:rsid w:val="00860997"/>
    <w:rsid w:val="00871692"/>
    <w:rsid w:val="00875902"/>
    <w:rsid w:val="00875E33"/>
    <w:rsid w:val="0087688A"/>
    <w:rsid w:val="008815EA"/>
    <w:rsid w:val="00883C7A"/>
    <w:rsid w:val="0088646E"/>
    <w:rsid w:val="008875CC"/>
    <w:rsid w:val="0088778B"/>
    <w:rsid w:val="008901DA"/>
    <w:rsid w:val="00891AE7"/>
    <w:rsid w:val="008978E3"/>
    <w:rsid w:val="00897C66"/>
    <w:rsid w:val="008A0208"/>
    <w:rsid w:val="008A3D34"/>
    <w:rsid w:val="008A5FD1"/>
    <w:rsid w:val="008B1C30"/>
    <w:rsid w:val="008B30D5"/>
    <w:rsid w:val="008B3D16"/>
    <w:rsid w:val="008B5E9C"/>
    <w:rsid w:val="008B72D5"/>
    <w:rsid w:val="008D3AE5"/>
    <w:rsid w:val="008F19FC"/>
    <w:rsid w:val="008F2B7C"/>
    <w:rsid w:val="00900E2F"/>
    <w:rsid w:val="009108FC"/>
    <w:rsid w:val="00912B58"/>
    <w:rsid w:val="00917B39"/>
    <w:rsid w:val="009228DD"/>
    <w:rsid w:val="00934D29"/>
    <w:rsid w:val="009431DF"/>
    <w:rsid w:val="00943BF2"/>
    <w:rsid w:val="009451AF"/>
    <w:rsid w:val="00960F30"/>
    <w:rsid w:val="0096444F"/>
    <w:rsid w:val="00967894"/>
    <w:rsid w:val="00977F84"/>
    <w:rsid w:val="00980CF3"/>
    <w:rsid w:val="00983B74"/>
    <w:rsid w:val="009848D4"/>
    <w:rsid w:val="0099041F"/>
    <w:rsid w:val="00992A21"/>
    <w:rsid w:val="00994A2F"/>
    <w:rsid w:val="009A5649"/>
    <w:rsid w:val="009B0A50"/>
    <w:rsid w:val="009B2E08"/>
    <w:rsid w:val="009C02B2"/>
    <w:rsid w:val="009C0EE3"/>
    <w:rsid w:val="009D360D"/>
    <w:rsid w:val="009D5DAD"/>
    <w:rsid w:val="009E0493"/>
    <w:rsid w:val="009E1957"/>
    <w:rsid w:val="009E1D51"/>
    <w:rsid w:val="009E615C"/>
    <w:rsid w:val="00A04483"/>
    <w:rsid w:val="00A07136"/>
    <w:rsid w:val="00A07A46"/>
    <w:rsid w:val="00A07ABC"/>
    <w:rsid w:val="00A21EF0"/>
    <w:rsid w:val="00A22EE3"/>
    <w:rsid w:val="00A33F1E"/>
    <w:rsid w:val="00A3408E"/>
    <w:rsid w:val="00A340E5"/>
    <w:rsid w:val="00A531E6"/>
    <w:rsid w:val="00A552E3"/>
    <w:rsid w:val="00A577B1"/>
    <w:rsid w:val="00A64128"/>
    <w:rsid w:val="00A64CD1"/>
    <w:rsid w:val="00A715C9"/>
    <w:rsid w:val="00A77D66"/>
    <w:rsid w:val="00A81D65"/>
    <w:rsid w:val="00A9166A"/>
    <w:rsid w:val="00A920A5"/>
    <w:rsid w:val="00A9717A"/>
    <w:rsid w:val="00A97374"/>
    <w:rsid w:val="00AA414A"/>
    <w:rsid w:val="00AB00FA"/>
    <w:rsid w:val="00AB2048"/>
    <w:rsid w:val="00AB2361"/>
    <w:rsid w:val="00AB5218"/>
    <w:rsid w:val="00AB5850"/>
    <w:rsid w:val="00AB617E"/>
    <w:rsid w:val="00AC3724"/>
    <w:rsid w:val="00AD3FF2"/>
    <w:rsid w:val="00AE7BBD"/>
    <w:rsid w:val="00AF065D"/>
    <w:rsid w:val="00B03FC3"/>
    <w:rsid w:val="00B05743"/>
    <w:rsid w:val="00B07CB1"/>
    <w:rsid w:val="00B11AB7"/>
    <w:rsid w:val="00B13734"/>
    <w:rsid w:val="00B2132D"/>
    <w:rsid w:val="00B217A6"/>
    <w:rsid w:val="00B23F9B"/>
    <w:rsid w:val="00B32675"/>
    <w:rsid w:val="00B3600F"/>
    <w:rsid w:val="00B40193"/>
    <w:rsid w:val="00B43E90"/>
    <w:rsid w:val="00B5234E"/>
    <w:rsid w:val="00B60385"/>
    <w:rsid w:val="00B65E48"/>
    <w:rsid w:val="00B7330D"/>
    <w:rsid w:val="00B74E46"/>
    <w:rsid w:val="00B77EA0"/>
    <w:rsid w:val="00B82615"/>
    <w:rsid w:val="00B9593E"/>
    <w:rsid w:val="00BB7645"/>
    <w:rsid w:val="00BB7703"/>
    <w:rsid w:val="00BC0B10"/>
    <w:rsid w:val="00BC389E"/>
    <w:rsid w:val="00BC6A21"/>
    <w:rsid w:val="00BE0E8B"/>
    <w:rsid w:val="00BE14B1"/>
    <w:rsid w:val="00BF253D"/>
    <w:rsid w:val="00C00EF5"/>
    <w:rsid w:val="00C01447"/>
    <w:rsid w:val="00C03F5C"/>
    <w:rsid w:val="00C04F38"/>
    <w:rsid w:val="00C05CC8"/>
    <w:rsid w:val="00C06C0C"/>
    <w:rsid w:val="00C07BF5"/>
    <w:rsid w:val="00C14D9A"/>
    <w:rsid w:val="00C155E3"/>
    <w:rsid w:val="00C22647"/>
    <w:rsid w:val="00C259C8"/>
    <w:rsid w:val="00C26129"/>
    <w:rsid w:val="00C26C30"/>
    <w:rsid w:val="00C270CD"/>
    <w:rsid w:val="00C30CE6"/>
    <w:rsid w:val="00C424B5"/>
    <w:rsid w:val="00C554F4"/>
    <w:rsid w:val="00C66481"/>
    <w:rsid w:val="00C66F0C"/>
    <w:rsid w:val="00C7122D"/>
    <w:rsid w:val="00C729ED"/>
    <w:rsid w:val="00C74FC1"/>
    <w:rsid w:val="00C77F3C"/>
    <w:rsid w:val="00CA10C7"/>
    <w:rsid w:val="00CB10F8"/>
    <w:rsid w:val="00CB1B8F"/>
    <w:rsid w:val="00CB41C8"/>
    <w:rsid w:val="00CB49AB"/>
    <w:rsid w:val="00CC1D23"/>
    <w:rsid w:val="00CC6295"/>
    <w:rsid w:val="00CD1837"/>
    <w:rsid w:val="00CD27A6"/>
    <w:rsid w:val="00CD66CE"/>
    <w:rsid w:val="00CF3FAD"/>
    <w:rsid w:val="00CF78FB"/>
    <w:rsid w:val="00D0031C"/>
    <w:rsid w:val="00D06BEF"/>
    <w:rsid w:val="00D11560"/>
    <w:rsid w:val="00D116AF"/>
    <w:rsid w:val="00D12A30"/>
    <w:rsid w:val="00D1718C"/>
    <w:rsid w:val="00D2032A"/>
    <w:rsid w:val="00D27ECF"/>
    <w:rsid w:val="00D328B5"/>
    <w:rsid w:val="00D37478"/>
    <w:rsid w:val="00D42201"/>
    <w:rsid w:val="00D43F53"/>
    <w:rsid w:val="00D45FD4"/>
    <w:rsid w:val="00D56C38"/>
    <w:rsid w:val="00D61AD0"/>
    <w:rsid w:val="00D64F99"/>
    <w:rsid w:val="00D65938"/>
    <w:rsid w:val="00D65F4C"/>
    <w:rsid w:val="00D73491"/>
    <w:rsid w:val="00D85241"/>
    <w:rsid w:val="00D925DA"/>
    <w:rsid w:val="00D93775"/>
    <w:rsid w:val="00D93D70"/>
    <w:rsid w:val="00DA080A"/>
    <w:rsid w:val="00DA3BEB"/>
    <w:rsid w:val="00DC545E"/>
    <w:rsid w:val="00DC69AE"/>
    <w:rsid w:val="00DD4169"/>
    <w:rsid w:val="00DD7CB2"/>
    <w:rsid w:val="00DE54D4"/>
    <w:rsid w:val="00DE7A7A"/>
    <w:rsid w:val="00DF72A9"/>
    <w:rsid w:val="00E07E3B"/>
    <w:rsid w:val="00E1073C"/>
    <w:rsid w:val="00E10856"/>
    <w:rsid w:val="00E11137"/>
    <w:rsid w:val="00E26358"/>
    <w:rsid w:val="00E336D2"/>
    <w:rsid w:val="00E359EE"/>
    <w:rsid w:val="00E37FC9"/>
    <w:rsid w:val="00E4162D"/>
    <w:rsid w:val="00E5481A"/>
    <w:rsid w:val="00E6474C"/>
    <w:rsid w:val="00E677CF"/>
    <w:rsid w:val="00E76476"/>
    <w:rsid w:val="00E853E6"/>
    <w:rsid w:val="00E85ABA"/>
    <w:rsid w:val="00E86A83"/>
    <w:rsid w:val="00E87D9B"/>
    <w:rsid w:val="00E9098A"/>
    <w:rsid w:val="00EA07A2"/>
    <w:rsid w:val="00EA34F2"/>
    <w:rsid w:val="00EA4D26"/>
    <w:rsid w:val="00EB25CC"/>
    <w:rsid w:val="00EB5092"/>
    <w:rsid w:val="00EB6D18"/>
    <w:rsid w:val="00EC35C9"/>
    <w:rsid w:val="00ED2D39"/>
    <w:rsid w:val="00ED5022"/>
    <w:rsid w:val="00ED7732"/>
    <w:rsid w:val="00EF08B2"/>
    <w:rsid w:val="00EF1861"/>
    <w:rsid w:val="00EF20B9"/>
    <w:rsid w:val="00F038B1"/>
    <w:rsid w:val="00F07C18"/>
    <w:rsid w:val="00F1095F"/>
    <w:rsid w:val="00F1105F"/>
    <w:rsid w:val="00F207BA"/>
    <w:rsid w:val="00F34667"/>
    <w:rsid w:val="00F34AD3"/>
    <w:rsid w:val="00F40A58"/>
    <w:rsid w:val="00F512E0"/>
    <w:rsid w:val="00F53B50"/>
    <w:rsid w:val="00F548E7"/>
    <w:rsid w:val="00F5500E"/>
    <w:rsid w:val="00F570AE"/>
    <w:rsid w:val="00F64F31"/>
    <w:rsid w:val="00F6515D"/>
    <w:rsid w:val="00F67494"/>
    <w:rsid w:val="00F701E5"/>
    <w:rsid w:val="00F72CB1"/>
    <w:rsid w:val="00F73A81"/>
    <w:rsid w:val="00F74454"/>
    <w:rsid w:val="00F74F22"/>
    <w:rsid w:val="00F77DE7"/>
    <w:rsid w:val="00F77E48"/>
    <w:rsid w:val="00F945FB"/>
    <w:rsid w:val="00FB083C"/>
    <w:rsid w:val="00FB52C1"/>
    <w:rsid w:val="00FB7A9E"/>
    <w:rsid w:val="00FC3C59"/>
    <w:rsid w:val="00FC3E39"/>
    <w:rsid w:val="00FC4A55"/>
    <w:rsid w:val="00FC534D"/>
    <w:rsid w:val="00FD11EF"/>
    <w:rsid w:val="00FD1C14"/>
    <w:rsid w:val="00FD1ED6"/>
    <w:rsid w:val="00FD6329"/>
    <w:rsid w:val="00FE44BE"/>
    <w:rsid w:val="00FE4EB5"/>
    <w:rsid w:val="00FE5389"/>
    <w:rsid w:val="00FE7E87"/>
    <w:rsid w:val="00FF01AB"/>
    <w:rsid w:val="00FF04A8"/>
    <w:rsid w:val="00FF1FC1"/>
    <w:rsid w:val="00FF3B58"/>
    <w:rsid w:val="00FF597A"/>
    <w:rsid w:val="00FF6D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240C"/>
  <w15:chartTrackingRefBased/>
  <w15:docId w15:val="{BB15724A-7A9F-4976-BC0B-7BA16CEA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10"/>
    <w:pPr>
      <w:ind w:left="720"/>
      <w:contextualSpacing/>
    </w:pPr>
  </w:style>
  <w:style w:type="paragraph" w:styleId="Header">
    <w:name w:val="header"/>
    <w:basedOn w:val="Normal"/>
    <w:link w:val="HeaderChar"/>
    <w:uiPriority w:val="99"/>
    <w:unhideWhenUsed/>
    <w:rsid w:val="00313F03"/>
    <w:pPr>
      <w:tabs>
        <w:tab w:val="center" w:pos="4513"/>
        <w:tab w:val="right" w:pos="9026"/>
      </w:tabs>
    </w:pPr>
  </w:style>
  <w:style w:type="character" w:customStyle="1" w:styleId="HeaderChar">
    <w:name w:val="Header Char"/>
    <w:basedOn w:val="DefaultParagraphFont"/>
    <w:link w:val="Header"/>
    <w:uiPriority w:val="99"/>
    <w:rsid w:val="00313F03"/>
  </w:style>
  <w:style w:type="paragraph" w:styleId="Footer">
    <w:name w:val="footer"/>
    <w:basedOn w:val="Normal"/>
    <w:link w:val="FooterChar"/>
    <w:uiPriority w:val="99"/>
    <w:unhideWhenUsed/>
    <w:rsid w:val="00313F03"/>
    <w:pPr>
      <w:tabs>
        <w:tab w:val="center" w:pos="4513"/>
        <w:tab w:val="right" w:pos="9026"/>
      </w:tabs>
    </w:pPr>
  </w:style>
  <w:style w:type="character" w:customStyle="1" w:styleId="FooterChar">
    <w:name w:val="Footer Char"/>
    <w:basedOn w:val="DefaultParagraphFont"/>
    <w:link w:val="Footer"/>
    <w:uiPriority w:val="99"/>
    <w:rsid w:val="00313F03"/>
  </w:style>
  <w:style w:type="paragraph" w:styleId="FootnoteText">
    <w:name w:val="footnote text"/>
    <w:basedOn w:val="Normal"/>
    <w:link w:val="FootnoteTextChar"/>
    <w:uiPriority w:val="99"/>
    <w:semiHidden/>
    <w:unhideWhenUsed/>
    <w:rsid w:val="0060191E"/>
    <w:rPr>
      <w:sz w:val="20"/>
      <w:szCs w:val="20"/>
    </w:rPr>
  </w:style>
  <w:style w:type="character" w:customStyle="1" w:styleId="FootnoteTextChar">
    <w:name w:val="Footnote Text Char"/>
    <w:basedOn w:val="DefaultParagraphFont"/>
    <w:link w:val="FootnoteText"/>
    <w:uiPriority w:val="99"/>
    <w:semiHidden/>
    <w:rsid w:val="0060191E"/>
    <w:rPr>
      <w:sz w:val="20"/>
      <w:szCs w:val="20"/>
    </w:rPr>
  </w:style>
  <w:style w:type="character" w:styleId="FootnoteReference">
    <w:name w:val="footnote reference"/>
    <w:basedOn w:val="DefaultParagraphFont"/>
    <w:uiPriority w:val="99"/>
    <w:semiHidden/>
    <w:unhideWhenUsed/>
    <w:rsid w:val="0060191E"/>
    <w:rPr>
      <w:vertAlign w:val="superscript"/>
    </w:rPr>
  </w:style>
  <w:style w:type="paragraph" w:styleId="Revision">
    <w:name w:val="Revision"/>
    <w:hidden/>
    <w:uiPriority w:val="99"/>
    <w:semiHidden/>
    <w:rsid w:val="001C22AA"/>
    <w:pPr>
      <w:jc w:val="left"/>
    </w:pPr>
  </w:style>
  <w:style w:type="character" w:styleId="CommentReference">
    <w:name w:val="annotation reference"/>
    <w:basedOn w:val="DefaultParagraphFont"/>
    <w:uiPriority w:val="99"/>
    <w:semiHidden/>
    <w:unhideWhenUsed/>
    <w:rsid w:val="001C22AA"/>
    <w:rPr>
      <w:sz w:val="16"/>
      <w:szCs w:val="16"/>
    </w:rPr>
  </w:style>
  <w:style w:type="paragraph" w:styleId="CommentText">
    <w:name w:val="annotation text"/>
    <w:basedOn w:val="Normal"/>
    <w:link w:val="CommentTextChar"/>
    <w:uiPriority w:val="99"/>
    <w:semiHidden/>
    <w:unhideWhenUsed/>
    <w:rsid w:val="001C22AA"/>
    <w:rPr>
      <w:sz w:val="20"/>
      <w:szCs w:val="20"/>
    </w:rPr>
  </w:style>
  <w:style w:type="character" w:customStyle="1" w:styleId="CommentTextChar">
    <w:name w:val="Comment Text Char"/>
    <w:basedOn w:val="DefaultParagraphFont"/>
    <w:link w:val="CommentText"/>
    <w:uiPriority w:val="99"/>
    <w:semiHidden/>
    <w:rsid w:val="001C22AA"/>
    <w:rPr>
      <w:sz w:val="20"/>
      <w:szCs w:val="20"/>
    </w:rPr>
  </w:style>
  <w:style w:type="paragraph" w:styleId="CommentSubject">
    <w:name w:val="annotation subject"/>
    <w:basedOn w:val="CommentText"/>
    <w:next w:val="CommentText"/>
    <w:link w:val="CommentSubjectChar"/>
    <w:uiPriority w:val="99"/>
    <w:semiHidden/>
    <w:unhideWhenUsed/>
    <w:rsid w:val="001C22AA"/>
    <w:rPr>
      <w:b/>
      <w:bCs/>
    </w:rPr>
  </w:style>
  <w:style w:type="character" w:customStyle="1" w:styleId="CommentSubjectChar">
    <w:name w:val="Comment Subject Char"/>
    <w:basedOn w:val="CommentTextChar"/>
    <w:link w:val="CommentSubject"/>
    <w:uiPriority w:val="99"/>
    <w:semiHidden/>
    <w:rsid w:val="001C22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2387">
      <w:bodyDiv w:val="1"/>
      <w:marLeft w:val="0"/>
      <w:marRight w:val="0"/>
      <w:marTop w:val="0"/>
      <w:marBottom w:val="0"/>
      <w:divBdr>
        <w:top w:val="none" w:sz="0" w:space="0" w:color="auto"/>
        <w:left w:val="none" w:sz="0" w:space="0" w:color="auto"/>
        <w:bottom w:val="none" w:sz="0" w:space="0" w:color="auto"/>
        <w:right w:val="none" w:sz="0" w:space="0" w:color="auto"/>
      </w:divBdr>
    </w:div>
    <w:div w:id="56052985">
      <w:bodyDiv w:val="1"/>
      <w:marLeft w:val="0"/>
      <w:marRight w:val="0"/>
      <w:marTop w:val="0"/>
      <w:marBottom w:val="0"/>
      <w:divBdr>
        <w:top w:val="none" w:sz="0" w:space="0" w:color="auto"/>
        <w:left w:val="none" w:sz="0" w:space="0" w:color="auto"/>
        <w:bottom w:val="none" w:sz="0" w:space="0" w:color="auto"/>
        <w:right w:val="none" w:sz="0" w:space="0" w:color="auto"/>
      </w:divBdr>
    </w:div>
    <w:div w:id="72704703">
      <w:bodyDiv w:val="1"/>
      <w:marLeft w:val="0"/>
      <w:marRight w:val="0"/>
      <w:marTop w:val="0"/>
      <w:marBottom w:val="0"/>
      <w:divBdr>
        <w:top w:val="none" w:sz="0" w:space="0" w:color="auto"/>
        <w:left w:val="none" w:sz="0" w:space="0" w:color="auto"/>
        <w:bottom w:val="none" w:sz="0" w:space="0" w:color="auto"/>
        <w:right w:val="none" w:sz="0" w:space="0" w:color="auto"/>
      </w:divBdr>
    </w:div>
    <w:div w:id="83039210">
      <w:bodyDiv w:val="1"/>
      <w:marLeft w:val="0"/>
      <w:marRight w:val="0"/>
      <w:marTop w:val="0"/>
      <w:marBottom w:val="0"/>
      <w:divBdr>
        <w:top w:val="none" w:sz="0" w:space="0" w:color="auto"/>
        <w:left w:val="none" w:sz="0" w:space="0" w:color="auto"/>
        <w:bottom w:val="none" w:sz="0" w:space="0" w:color="auto"/>
        <w:right w:val="none" w:sz="0" w:space="0" w:color="auto"/>
      </w:divBdr>
    </w:div>
    <w:div w:id="92671725">
      <w:bodyDiv w:val="1"/>
      <w:marLeft w:val="0"/>
      <w:marRight w:val="0"/>
      <w:marTop w:val="0"/>
      <w:marBottom w:val="0"/>
      <w:divBdr>
        <w:top w:val="none" w:sz="0" w:space="0" w:color="auto"/>
        <w:left w:val="none" w:sz="0" w:space="0" w:color="auto"/>
        <w:bottom w:val="none" w:sz="0" w:space="0" w:color="auto"/>
        <w:right w:val="none" w:sz="0" w:space="0" w:color="auto"/>
      </w:divBdr>
    </w:div>
    <w:div w:id="103236847">
      <w:bodyDiv w:val="1"/>
      <w:marLeft w:val="0"/>
      <w:marRight w:val="0"/>
      <w:marTop w:val="0"/>
      <w:marBottom w:val="0"/>
      <w:divBdr>
        <w:top w:val="none" w:sz="0" w:space="0" w:color="auto"/>
        <w:left w:val="none" w:sz="0" w:space="0" w:color="auto"/>
        <w:bottom w:val="none" w:sz="0" w:space="0" w:color="auto"/>
        <w:right w:val="none" w:sz="0" w:space="0" w:color="auto"/>
      </w:divBdr>
    </w:div>
    <w:div w:id="212236205">
      <w:bodyDiv w:val="1"/>
      <w:marLeft w:val="0"/>
      <w:marRight w:val="0"/>
      <w:marTop w:val="0"/>
      <w:marBottom w:val="0"/>
      <w:divBdr>
        <w:top w:val="none" w:sz="0" w:space="0" w:color="auto"/>
        <w:left w:val="none" w:sz="0" w:space="0" w:color="auto"/>
        <w:bottom w:val="none" w:sz="0" w:space="0" w:color="auto"/>
        <w:right w:val="none" w:sz="0" w:space="0" w:color="auto"/>
      </w:divBdr>
    </w:div>
    <w:div w:id="244922841">
      <w:bodyDiv w:val="1"/>
      <w:marLeft w:val="0"/>
      <w:marRight w:val="0"/>
      <w:marTop w:val="0"/>
      <w:marBottom w:val="0"/>
      <w:divBdr>
        <w:top w:val="none" w:sz="0" w:space="0" w:color="auto"/>
        <w:left w:val="none" w:sz="0" w:space="0" w:color="auto"/>
        <w:bottom w:val="none" w:sz="0" w:space="0" w:color="auto"/>
        <w:right w:val="none" w:sz="0" w:space="0" w:color="auto"/>
      </w:divBdr>
    </w:div>
    <w:div w:id="262690563">
      <w:bodyDiv w:val="1"/>
      <w:marLeft w:val="0"/>
      <w:marRight w:val="0"/>
      <w:marTop w:val="0"/>
      <w:marBottom w:val="0"/>
      <w:divBdr>
        <w:top w:val="none" w:sz="0" w:space="0" w:color="auto"/>
        <w:left w:val="none" w:sz="0" w:space="0" w:color="auto"/>
        <w:bottom w:val="none" w:sz="0" w:space="0" w:color="auto"/>
        <w:right w:val="none" w:sz="0" w:space="0" w:color="auto"/>
      </w:divBdr>
    </w:div>
    <w:div w:id="294022767">
      <w:bodyDiv w:val="1"/>
      <w:marLeft w:val="0"/>
      <w:marRight w:val="0"/>
      <w:marTop w:val="0"/>
      <w:marBottom w:val="0"/>
      <w:divBdr>
        <w:top w:val="none" w:sz="0" w:space="0" w:color="auto"/>
        <w:left w:val="none" w:sz="0" w:space="0" w:color="auto"/>
        <w:bottom w:val="none" w:sz="0" w:space="0" w:color="auto"/>
        <w:right w:val="none" w:sz="0" w:space="0" w:color="auto"/>
      </w:divBdr>
    </w:div>
    <w:div w:id="426852910">
      <w:bodyDiv w:val="1"/>
      <w:marLeft w:val="0"/>
      <w:marRight w:val="0"/>
      <w:marTop w:val="0"/>
      <w:marBottom w:val="0"/>
      <w:divBdr>
        <w:top w:val="none" w:sz="0" w:space="0" w:color="auto"/>
        <w:left w:val="none" w:sz="0" w:space="0" w:color="auto"/>
        <w:bottom w:val="none" w:sz="0" w:space="0" w:color="auto"/>
        <w:right w:val="none" w:sz="0" w:space="0" w:color="auto"/>
      </w:divBdr>
    </w:div>
    <w:div w:id="621034312">
      <w:bodyDiv w:val="1"/>
      <w:marLeft w:val="0"/>
      <w:marRight w:val="0"/>
      <w:marTop w:val="0"/>
      <w:marBottom w:val="0"/>
      <w:divBdr>
        <w:top w:val="none" w:sz="0" w:space="0" w:color="auto"/>
        <w:left w:val="none" w:sz="0" w:space="0" w:color="auto"/>
        <w:bottom w:val="none" w:sz="0" w:space="0" w:color="auto"/>
        <w:right w:val="none" w:sz="0" w:space="0" w:color="auto"/>
      </w:divBdr>
    </w:div>
    <w:div w:id="735863972">
      <w:bodyDiv w:val="1"/>
      <w:marLeft w:val="0"/>
      <w:marRight w:val="0"/>
      <w:marTop w:val="0"/>
      <w:marBottom w:val="0"/>
      <w:divBdr>
        <w:top w:val="none" w:sz="0" w:space="0" w:color="auto"/>
        <w:left w:val="none" w:sz="0" w:space="0" w:color="auto"/>
        <w:bottom w:val="none" w:sz="0" w:space="0" w:color="auto"/>
        <w:right w:val="none" w:sz="0" w:space="0" w:color="auto"/>
      </w:divBdr>
    </w:div>
    <w:div w:id="814030682">
      <w:bodyDiv w:val="1"/>
      <w:marLeft w:val="0"/>
      <w:marRight w:val="0"/>
      <w:marTop w:val="0"/>
      <w:marBottom w:val="0"/>
      <w:divBdr>
        <w:top w:val="none" w:sz="0" w:space="0" w:color="auto"/>
        <w:left w:val="none" w:sz="0" w:space="0" w:color="auto"/>
        <w:bottom w:val="none" w:sz="0" w:space="0" w:color="auto"/>
        <w:right w:val="none" w:sz="0" w:space="0" w:color="auto"/>
      </w:divBdr>
    </w:div>
    <w:div w:id="852230758">
      <w:bodyDiv w:val="1"/>
      <w:marLeft w:val="0"/>
      <w:marRight w:val="0"/>
      <w:marTop w:val="0"/>
      <w:marBottom w:val="0"/>
      <w:divBdr>
        <w:top w:val="none" w:sz="0" w:space="0" w:color="auto"/>
        <w:left w:val="none" w:sz="0" w:space="0" w:color="auto"/>
        <w:bottom w:val="none" w:sz="0" w:space="0" w:color="auto"/>
        <w:right w:val="none" w:sz="0" w:space="0" w:color="auto"/>
      </w:divBdr>
    </w:div>
    <w:div w:id="1047990973">
      <w:bodyDiv w:val="1"/>
      <w:marLeft w:val="0"/>
      <w:marRight w:val="0"/>
      <w:marTop w:val="0"/>
      <w:marBottom w:val="0"/>
      <w:divBdr>
        <w:top w:val="none" w:sz="0" w:space="0" w:color="auto"/>
        <w:left w:val="none" w:sz="0" w:space="0" w:color="auto"/>
        <w:bottom w:val="none" w:sz="0" w:space="0" w:color="auto"/>
        <w:right w:val="none" w:sz="0" w:space="0" w:color="auto"/>
      </w:divBdr>
    </w:div>
    <w:div w:id="1168595477">
      <w:bodyDiv w:val="1"/>
      <w:marLeft w:val="0"/>
      <w:marRight w:val="0"/>
      <w:marTop w:val="0"/>
      <w:marBottom w:val="0"/>
      <w:divBdr>
        <w:top w:val="none" w:sz="0" w:space="0" w:color="auto"/>
        <w:left w:val="none" w:sz="0" w:space="0" w:color="auto"/>
        <w:bottom w:val="none" w:sz="0" w:space="0" w:color="auto"/>
        <w:right w:val="none" w:sz="0" w:space="0" w:color="auto"/>
      </w:divBdr>
    </w:div>
    <w:div w:id="1205024321">
      <w:bodyDiv w:val="1"/>
      <w:marLeft w:val="0"/>
      <w:marRight w:val="0"/>
      <w:marTop w:val="0"/>
      <w:marBottom w:val="0"/>
      <w:divBdr>
        <w:top w:val="none" w:sz="0" w:space="0" w:color="auto"/>
        <w:left w:val="none" w:sz="0" w:space="0" w:color="auto"/>
        <w:bottom w:val="none" w:sz="0" w:space="0" w:color="auto"/>
        <w:right w:val="none" w:sz="0" w:space="0" w:color="auto"/>
      </w:divBdr>
    </w:div>
    <w:div w:id="1255898573">
      <w:bodyDiv w:val="1"/>
      <w:marLeft w:val="0"/>
      <w:marRight w:val="0"/>
      <w:marTop w:val="0"/>
      <w:marBottom w:val="0"/>
      <w:divBdr>
        <w:top w:val="none" w:sz="0" w:space="0" w:color="auto"/>
        <w:left w:val="none" w:sz="0" w:space="0" w:color="auto"/>
        <w:bottom w:val="none" w:sz="0" w:space="0" w:color="auto"/>
        <w:right w:val="none" w:sz="0" w:space="0" w:color="auto"/>
      </w:divBdr>
    </w:div>
    <w:div w:id="1314987116">
      <w:bodyDiv w:val="1"/>
      <w:marLeft w:val="0"/>
      <w:marRight w:val="0"/>
      <w:marTop w:val="0"/>
      <w:marBottom w:val="0"/>
      <w:divBdr>
        <w:top w:val="none" w:sz="0" w:space="0" w:color="auto"/>
        <w:left w:val="none" w:sz="0" w:space="0" w:color="auto"/>
        <w:bottom w:val="none" w:sz="0" w:space="0" w:color="auto"/>
        <w:right w:val="none" w:sz="0" w:space="0" w:color="auto"/>
      </w:divBdr>
    </w:div>
    <w:div w:id="1367564063">
      <w:bodyDiv w:val="1"/>
      <w:marLeft w:val="0"/>
      <w:marRight w:val="0"/>
      <w:marTop w:val="0"/>
      <w:marBottom w:val="0"/>
      <w:divBdr>
        <w:top w:val="none" w:sz="0" w:space="0" w:color="auto"/>
        <w:left w:val="none" w:sz="0" w:space="0" w:color="auto"/>
        <w:bottom w:val="none" w:sz="0" w:space="0" w:color="auto"/>
        <w:right w:val="none" w:sz="0" w:space="0" w:color="auto"/>
      </w:divBdr>
    </w:div>
    <w:div w:id="1405028631">
      <w:bodyDiv w:val="1"/>
      <w:marLeft w:val="0"/>
      <w:marRight w:val="0"/>
      <w:marTop w:val="0"/>
      <w:marBottom w:val="0"/>
      <w:divBdr>
        <w:top w:val="none" w:sz="0" w:space="0" w:color="auto"/>
        <w:left w:val="none" w:sz="0" w:space="0" w:color="auto"/>
        <w:bottom w:val="none" w:sz="0" w:space="0" w:color="auto"/>
        <w:right w:val="none" w:sz="0" w:space="0" w:color="auto"/>
      </w:divBdr>
    </w:div>
    <w:div w:id="1526558791">
      <w:bodyDiv w:val="1"/>
      <w:marLeft w:val="0"/>
      <w:marRight w:val="0"/>
      <w:marTop w:val="0"/>
      <w:marBottom w:val="0"/>
      <w:divBdr>
        <w:top w:val="none" w:sz="0" w:space="0" w:color="auto"/>
        <w:left w:val="none" w:sz="0" w:space="0" w:color="auto"/>
        <w:bottom w:val="none" w:sz="0" w:space="0" w:color="auto"/>
        <w:right w:val="none" w:sz="0" w:space="0" w:color="auto"/>
      </w:divBdr>
    </w:div>
    <w:div w:id="1609695696">
      <w:bodyDiv w:val="1"/>
      <w:marLeft w:val="0"/>
      <w:marRight w:val="0"/>
      <w:marTop w:val="0"/>
      <w:marBottom w:val="0"/>
      <w:divBdr>
        <w:top w:val="none" w:sz="0" w:space="0" w:color="auto"/>
        <w:left w:val="none" w:sz="0" w:space="0" w:color="auto"/>
        <w:bottom w:val="none" w:sz="0" w:space="0" w:color="auto"/>
        <w:right w:val="none" w:sz="0" w:space="0" w:color="auto"/>
      </w:divBdr>
    </w:div>
    <w:div w:id="1884751437">
      <w:bodyDiv w:val="1"/>
      <w:marLeft w:val="0"/>
      <w:marRight w:val="0"/>
      <w:marTop w:val="0"/>
      <w:marBottom w:val="0"/>
      <w:divBdr>
        <w:top w:val="none" w:sz="0" w:space="0" w:color="auto"/>
        <w:left w:val="none" w:sz="0" w:space="0" w:color="auto"/>
        <w:bottom w:val="none" w:sz="0" w:space="0" w:color="auto"/>
        <w:right w:val="none" w:sz="0" w:space="0" w:color="auto"/>
      </w:divBdr>
    </w:div>
    <w:div w:id="210032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A2CA743B0D34A93C73669F3B08F7B" ma:contentTypeVersion="18" ma:contentTypeDescription="Create a new document." ma:contentTypeScope="" ma:versionID="db353c30a6c7fec57412e1f4ca9eea97">
  <xsd:schema xmlns:xsd="http://www.w3.org/2001/XMLSchema" xmlns:xs="http://www.w3.org/2001/XMLSchema" xmlns:p="http://schemas.microsoft.com/office/2006/metadata/properties" xmlns:ns2="c6ac4fba-fc35-48d3-9ccf-00aa8e3b457f" xmlns:ns3="8d40c091-0dd0-4356-9b77-6f1d4befd118" targetNamespace="http://schemas.microsoft.com/office/2006/metadata/properties" ma:root="true" ma:fieldsID="6499f29a788a820e873472c98af8b383" ns2:_="" ns3:_="">
    <xsd:import namespace="c6ac4fba-fc35-48d3-9ccf-00aa8e3b457f"/>
    <xsd:import namespace="8d40c091-0dd0-4356-9b77-6f1d4befd1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c4fba-fc35-48d3-9ccf-00aa8e3b4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a5e1d1-f727-40cb-a3a2-1a5d4cf6c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40c091-0dd0-4356-9b77-6f1d4befd1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a91d60-ed68-4bf2-9ed0-baffe9b96373}" ma:internalName="TaxCatchAll" ma:showField="CatchAllData" ma:web="8d40c091-0dd0-4356-9b77-6f1d4befd1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40c091-0dd0-4356-9b77-6f1d4befd118" xsi:nil="true"/>
    <lcf76f155ced4ddcb4097134ff3c332f xmlns="c6ac4fba-fc35-48d3-9ccf-00aa8e3b45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5E013-DCED-45EC-9501-24870E77D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c4fba-fc35-48d3-9ccf-00aa8e3b457f"/>
    <ds:schemaRef ds:uri="8d40c091-0dd0-4356-9b77-6f1d4bef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0E43F-D0DA-4A7D-9D26-1536995A1766}">
  <ds:schemaRefs>
    <ds:schemaRef ds:uri="http://schemas.microsoft.com/sharepoint/v3/contenttype/forms"/>
  </ds:schemaRefs>
</ds:datastoreItem>
</file>

<file path=customXml/itemProps3.xml><?xml version="1.0" encoding="utf-8"?>
<ds:datastoreItem xmlns:ds="http://schemas.openxmlformats.org/officeDocument/2006/customXml" ds:itemID="{9EF4DBF2-1DBE-4FBF-A4E4-C9D8F4BBD78E}">
  <ds:schemaRefs>
    <ds:schemaRef ds:uri="http://schemas.microsoft.com/office/2006/metadata/properties"/>
    <ds:schemaRef ds:uri="http://schemas.microsoft.com/office/infopath/2007/PartnerControls"/>
    <ds:schemaRef ds:uri="8d40c091-0dd0-4356-9b77-6f1d4befd118"/>
    <ds:schemaRef ds:uri="c6ac4fba-fc35-48d3-9ccf-00aa8e3b457f"/>
  </ds:schemaRefs>
</ds:datastoreItem>
</file>

<file path=customXml/itemProps4.xml><?xml version="1.0" encoding="utf-8"?>
<ds:datastoreItem xmlns:ds="http://schemas.openxmlformats.org/officeDocument/2006/customXml" ds:itemID="{9AE39C8E-EEFE-40D6-9610-D334D78E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2292</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Price</dc:creator>
  <cp:keywords/>
  <dc:description/>
  <cp:lastModifiedBy>pati-svc</cp:lastModifiedBy>
  <cp:revision>2</cp:revision>
  <dcterms:created xsi:type="dcterms:W3CDTF">2025-11-12T16:21:00Z</dcterms:created>
  <dcterms:modified xsi:type="dcterms:W3CDTF">2025-11-12T16:21:00Z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0x0101009B2A2CA743B0D34A93C73669F3B08F7B</vt:lpwstr>
  </property>
  <property fmtid="{D5CDD505-2E9C-101B-9397-08002B2CF9AE}" pid="3" name="MediaServiceImageTags">
    <vt:lpwstr/>
  </property>
</Properties>
</file>